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4F854071" w:rsidR="002B4F4A" w:rsidRPr="00507671" w:rsidRDefault="00CC6142" w:rsidP="00721D02">
      <w:pPr>
        <w:spacing w:after="0"/>
        <w:jc w:val="center"/>
        <w:rPr>
          <w:rFonts w:ascii="Verdana" w:hAnsi="Verdana"/>
          <w:b/>
          <w:bCs/>
          <w:sz w:val="20"/>
          <w:szCs w:val="20"/>
        </w:rPr>
      </w:pPr>
      <w:r w:rsidRPr="00507671">
        <w:rPr>
          <w:rFonts w:ascii="Verdana" w:hAnsi="Verdana"/>
          <w:b/>
          <w:bCs/>
          <w:sz w:val="20"/>
          <w:szCs w:val="20"/>
        </w:rPr>
        <w:t>PARTE</w:t>
      </w:r>
      <w:r w:rsidR="00A41E5E" w:rsidRPr="00507671">
        <w:rPr>
          <w:rFonts w:ascii="Verdana" w:hAnsi="Verdana"/>
          <w:b/>
          <w:bCs/>
          <w:sz w:val="20"/>
          <w:szCs w:val="20"/>
        </w:rPr>
        <w:t xml:space="preserve"> </w:t>
      </w:r>
      <w:r w:rsidR="00130FBD" w:rsidRPr="00507671">
        <w:rPr>
          <w:rFonts w:ascii="Verdana" w:hAnsi="Verdana"/>
          <w:b/>
          <w:bCs/>
          <w:sz w:val="20"/>
          <w:szCs w:val="20"/>
        </w:rPr>
        <w:t>2</w:t>
      </w:r>
    </w:p>
    <w:p w14:paraId="6000F327" w14:textId="21F07E36" w:rsidR="0006736C" w:rsidRPr="00507671" w:rsidRDefault="00130FBD" w:rsidP="00721D02">
      <w:pPr>
        <w:spacing w:after="0"/>
        <w:jc w:val="center"/>
        <w:rPr>
          <w:rFonts w:ascii="Verdana" w:hAnsi="Verdana"/>
          <w:b/>
          <w:bCs/>
          <w:sz w:val="20"/>
          <w:szCs w:val="20"/>
        </w:rPr>
      </w:pPr>
      <w:r w:rsidRPr="00507671">
        <w:rPr>
          <w:rFonts w:ascii="Verdana" w:hAnsi="Verdana"/>
          <w:b/>
          <w:bCs/>
          <w:sz w:val="20"/>
          <w:szCs w:val="20"/>
        </w:rPr>
        <w:t>CONTROLES DE LEY Y ASUNTOS PRUDENCIALES</w:t>
      </w:r>
    </w:p>
    <w:p w14:paraId="1BF07C81" w14:textId="77777777" w:rsidR="00721D02" w:rsidRPr="00507671" w:rsidRDefault="00721D02" w:rsidP="00721D02">
      <w:pPr>
        <w:spacing w:after="0"/>
        <w:jc w:val="center"/>
        <w:rPr>
          <w:rFonts w:ascii="Verdana" w:hAnsi="Verdana"/>
          <w:b/>
          <w:bCs/>
          <w:sz w:val="20"/>
          <w:szCs w:val="20"/>
        </w:rPr>
      </w:pPr>
    </w:p>
    <w:p w14:paraId="438B98D3" w14:textId="3F7056AC" w:rsidR="00A41E5E" w:rsidRPr="00507671" w:rsidRDefault="00A41E5E" w:rsidP="00721D02">
      <w:pPr>
        <w:spacing w:after="0"/>
        <w:jc w:val="center"/>
        <w:rPr>
          <w:rFonts w:ascii="Verdana" w:hAnsi="Verdana"/>
          <w:b/>
          <w:bCs/>
          <w:sz w:val="20"/>
          <w:szCs w:val="20"/>
        </w:rPr>
      </w:pPr>
      <w:r w:rsidRPr="00507671">
        <w:rPr>
          <w:rFonts w:ascii="Verdana" w:hAnsi="Verdana"/>
          <w:b/>
          <w:bCs/>
          <w:sz w:val="20"/>
          <w:szCs w:val="20"/>
        </w:rPr>
        <w:t xml:space="preserve">CAPÍTULO </w:t>
      </w:r>
      <w:r w:rsidR="00130FBD" w:rsidRPr="00507671">
        <w:rPr>
          <w:rFonts w:ascii="Verdana" w:hAnsi="Verdana"/>
          <w:b/>
          <w:bCs/>
          <w:sz w:val="20"/>
          <w:szCs w:val="20"/>
        </w:rPr>
        <w:t>5</w:t>
      </w:r>
    </w:p>
    <w:p w14:paraId="3F9900A3" w14:textId="21D38F91" w:rsidR="00DA0C0E" w:rsidRPr="00507671" w:rsidRDefault="00130FBD" w:rsidP="00721D02">
      <w:pPr>
        <w:spacing w:after="0"/>
        <w:jc w:val="center"/>
        <w:rPr>
          <w:rFonts w:ascii="Verdana" w:hAnsi="Verdana"/>
          <w:b/>
          <w:bCs/>
          <w:sz w:val="20"/>
          <w:szCs w:val="20"/>
        </w:rPr>
      </w:pPr>
      <w:r w:rsidRPr="00507671">
        <w:rPr>
          <w:rFonts w:ascii="Verdana" w:hAnsi="Verdana"/>
          <w:b/>
          <w:bCs/>
          <w:sz w:val="20"/>
          <w:szCs w:val="20"/>
        </w:rPr>
        <w:t>NIVEL DE CAPITAL ADECUADO DE CONGLOMERADOS</w:t>
      </w:r>
      <w:r w:rsidR="00E4641A">
        <w:rPr>
          <w:rFonts w:ascii="Verdana" w:hAnsi="Verdana"/>
          <w:b/>
          <w:bCs/>
          <w:sz w:val="20"/>
          <w:szCs w:val="20"/>
        </w:rPr>
        <w:t xml:space="preserve"> FINANCIEROS</w:t>
      </w:r>
    </w:p>
    <w:p w14:paraId="3AEDBD8A" w14:textId="77777777" w:rsidR="00721D02" w:rsidRPr="00507671" w:rsidRDefault="00721D02" w:rsidP="00721D02">
      <w:pPr>
        <w:spacing w:after="0"/>
        <w:jc w:val="center"/>
        <w:rPr>
          <w:rFonts w:ascii="Verdana" w:hAnsi="Verdana"/>
          <w:b/>
          <w:bCs/>
          <w:sz w:val="20"/>
          <w:szCs w:val="20"/>
        </w:rPr>
      </w:pPr>
    </w:p>
    <w:p w14:paraId="2542FB61" w14:textId="77777777" w:rsidR="00316BD7" w:rsidRPr="00507671" w:rsidRDefault="00316BD7" w:rsidP="009D1CDF">
      <w:pPr>
        <w:spacing w:after="0"/>
        <w:jc w:val="both"/>
        <w:rPr>
          <w:rFonts w:ascii="Verdana" w:hAnsi="Verdana"/>
          <w:sz w:val="20"/>
          <w:szCs w:val="20"/>
        </w:rPr>
      </w:pPr>
    </w:p>
    <w:p w14:paraId="67600E09" w14:textId="7BBCF926" w:rsidR="009D1CDF" w:rsidRPr="00BE3762" w:rsidRDefault="00F93ADE" w:rsidP="00BE3762">
      <w:pPr>
        <w:spacing w:after="0"/>
        <w:jc w:val="both"/>
        <w:rPr>
          <w:rFonts w:ascii="Verdana" w:hAnsi="Verdana"/>
          <w:b/>
          <w:sz w:val="20"/>
          <w:szCs w:val="20"/>
        </w:rPr>
      </w:pPr>
      <w:r w:rsidRPr="00BE3762">
        <w:rPr>
          <w:rFonts w:ascii="Verdana" w:hAnsi="Verdana"/>
          <w:b/>
          <w:sz w:val="20"/>
          <w:szCs w:val="20"/>
        </w:rPr>
        <w:t>ÁMBITO DE APLICACIÓN</w:t>
      </w:r>
    </w:p>
    <w:p w14:paraId="6B076AD3" w14:textId="77777777" w:rsidR="009D1CDF" w:rsidRPr="00507671" w:rsidRDefault="009D1CDF" w:rsidP="009D1CDF">
      <w:pPr>
        <w:spacing w:after="0"/>
        <w:jc w:val="both"/>
        <w:rPr>
          <w:rFonts w:ascii="Verdana" w:hAnsi="Verdana"/>
          <w:b/>
          <w:sz w:val="20"/>
          <w:szCs w:val="20"/>
        </w:rPr>
      </w:pPr>
    </w:p>
    <w:p w14:paraId="3DBAEF7E" w14:textId="77777777" w:rsidR="00942448" w:rsidRDefault="00942448" w:rsidP="009D1CDF">
      <w:pPr>
        <w:spacing w:after="0"/>
        <w:jc w:val="both"/>
        <w:rPr>
          <w:rFonts w:ascii="Verdana" w:hAnsi="Verdana"/>
          <w:sz w:val="20"/>
          <w:szCs w:val="20"/>
        </w:rPr>
      </w:pPr>
      <w:r>
        <w:rPr>
          <w:rFonts w:ascii="Verdana" w:hAnsi="Verdana"/>
          <w:sz w:val="20"/>
          <w:szCs w:val="20"/>
        </w:rPr>
        <w:t>2.5.1.</w:t>
      </w:r>
    </w:p>
    <w:p w14:paraId="169A0EA6" w14:textId="3C332F28" w:rsidR="009D1CDF" w:rsidRPr="00507671" w:rsidRDefault="009D1CDF" w:rsidP="009D1CDF">
      <w:pPr>
        <w:spacing w:after="0"/>
        <w:jc w:val="both"/>
        <w:rPr>
          <w:rFonts w:ascii="Verdana" w:hAnsi="Verdana"/>
          <w:sz w:val="20"/>
          <w:szCs w:val="20"/>
        </w:rPr>
      </w:pPr>
      <w:r w:rsidRPr="00507671">
        <w:rPr>
          <w:rFonts w:ascii="Verdana" w:hAnsi="Verdana"/>
          <w:sz w:val="20"/>
          <w:szCs w:val="20"/>
        </w:rPr>
        <w:t xml:space="preserve">Las instrucciones del presente </w:t>
      </w:r>
      <w:r w:rsidR="005A7D87">
        <w:rPr>
          <w:rFonts w:ascii="Verdana" w:hAnsi="Verdana"/>
          <w:sz w:val="20"/>
          <w:szCs w:val="20"/>
        </w:rPr>
        <w:t>c</w:t>
      </w:r>
      <w:r w:rsidRPr="00507671">
        <w:rPr>
          <w:rFonts w:ascii="Verdana" w:hAnsi="Verdana"/>
          <w:sz w:val="20"/>
          <w:szCs w:val="20"/>
        </w:rPr>
        <w:t xml:space="preserve">apítulo son aplicables a todos los holdings financieros sujetos a la inspección y vigilancia de la Superintendencia Financiera de Colombia (SFC) en virtud del artículo 4 de la Ley 1870 de 2017. </w:t>
      </w:r>
    </w:p>
    <w:p w14:paraId="7CA88463" w14:textId="77777777" w:rsidR="009D1CDF" w:rsidRPr="00507671" w:rsidRDefault="009D1CDF" w:rsidP="009D1CDF">
      <w:pPr>
        <w:spacing w:after="0"/>
        <w:jc w:val="both"/>
        <w:rPr>
          <w:rFonts w:ascii="Verdana" w:hAnsi="Verdana"/>
          <w:b/>
          <w:sz w:val="20"/>
          <w:szCs w:val="20"/>
        </w:rPr>
      </w:pPr>
    </w:p>
    <w:p w14:paraId="29DF8711" w14:textId="77777777" w:rsidR="00860E84" w:rsidRDefault="009D1CDF" w:rsidP="00E4641A">
      <w:pPr>
        <w:spacing w:after="0"/>
        <w:jc w:val="both"/>
        <w:rPr>
          <w:rFonts w:ascii="Verdana" w:hAnsi="Verdana"/>
          <w:b/>
          <w:sz w:val="20"/>
          <w:szCs w:val="20"/>
        </w:rPr>
      </w:pPr>
      <w:r w:rsidRPr="00BE3762">
        <w:rPr>
          <w:rFonts w:ascii="Verdana" w:hAnsi="Verdana"/>
          <w:b/>
          <w:sz w:val="20"/>
          <w:szCs w:val="20"/>
        </w:rPr>
        <w:t>G</w:t>
      </w:r>
      <w:r w:rsidR="006C3302" w:rsidRPr="00BE3762">
        <w:rPr>
          <w:rFonts w:ascii="Verdana" w:hAnsi="Verdana"/>
          <w:b/>
          <w:sz w:val="20"/>
          <w:szCs w:val="20"/>
        </w:rPr>
        <w:t>ENERALIDADES DEL CAPITAL ADECUADO DEL CONGLOMERADO FINANCIERO</w:t>
      </w:r>
    </w:p>
    <w:p w14:paraId="0745015D" w14:textId="77777777" w:rsidR="00860E84" w:rsidRDefault="00860E84" w:rsidP="00E4641A">
      <w:pPr>
        <w:spacing w:after="0"/>
        <w:jc w:val="both"/>
        <w:rPr>
          <w:rFonts w:ascii="Verdana" w:hAnsi="Verdana"/>
          <w:b/>
          <w:sz w:val="20"/>
          <w:szCs w:val="20"/>
        </w:rPr>
      </w:pPr>
    </w:p>
    <w:p w14:paraId="10EF841A" w14:textId="36EEEE9E" w:rsidR="00E4641A" w:rsidRPr="00860E84" w:rsidRDefault="00E4641A" w:rsidP="00E4641A">
      <w:pPr>
        <w:spacing w:after="0"/>
        <w:jc w:val="both"/>
        <w:rPr>
          <w:rFonts w:ascii="Verdana" w:hAnsi="Verdana"/>
          <w:b/>
          <w:sz w:val="20"/>
          <w:szCs w:val="20"/>
        </w:rPr>
      </w:pPr>
      <w:r>
        <w:rPr>
          <w:rFonts w:ascii="Verdana" w:hAnsi="Verdana"/>
          <w:sz w:val="20"/>
          <w:szCs w:val="20"/>
        </w:rPr>
        <w:t>2.5.2.</w:t>
      </w:r>
    </w:p>
    <w:p w14:paraId="30F8915C" w14:textId="17F2272B" w:rsidR="009D1CDF" w:rsidRPr="00507671" w:rsidRDefault="009D1CDF" w:rsidP="009D1CDF">
      <w:pPr>
        <w:spacing w:after="0"/>
        <w:jc w:val="both"/>
        <w:rPr>
          <w:rFonts w:ascii="Verdana" w:hAnsi="Verdana"/>
          <w:sz w:val="20"/>
          <w:szCs w:val="20"/>
        </w:rPr>
      </w:pPr>
      <w:r w:rsidRPr="00507671">
        <w:rPr>
          <w:rFonts w:ascii="Verdana" w:hAnsi="Verdana"/>
          <w:sz w:val="20"/>
          <w:szCs w:val="20"/>
        </w:rPr>
        <w:t>Los holdings financieros son los responsables del cumplimiento, en todo momento, del nivel adecuado de capital para los conglomerados financieros, de acuerdo con lo dispuesto en el artículo 2.39.2.1.2 del Decreto 2555 de 2010. El nivel adecuado de capital de los conglomerados financieros debe tener en consideración las actividades desarrolladas por las entidades que los conforman y los riesgos asociados a estas. El patrimonio técnico del conglomerado financiero en ningún momento podrá ser inferior al patrimonio adecuado de este y, de acuerdo con lo establecido en el artículo 5 de la Ley 1870 de 2017, el capital se debe depurar para evitar que se utilicen los mismos recursos para respaldar de forma simultánea múltiples riesgos.</w:t>
      </w:r>
    </w:p>
    <w:p w14:paraId="4AED31FD" w14:textId="77777777" w:rsidR="009D1CDF" w:rsidRPr="00507671" w:rsidRDefault="009D1CDF" w:rsidP="009D1CDF">
      <w:pPr>
        <w:spacing w:after="0"/>
        <w:jc w:val="both"/>
        <w:rPr>
          <w:rFonts w:ascii="Verdana" w:hAnsi="Verdana"/>
          <w:sz w:val="20"/>
          <w:szCs w:val="20"/>
        </w:rPr>
      </w:pPr>
    </w:p>
    <w:p w14:paraId="428C697D" w14:textId="6576E62C" w:rsidR="00E4641A" w:rsidRDefault="00E4641A" w:rsidP="00E4641A">
      <w:pPr>
        <w:spacing w:after="0"/>
        <w:jc w:val="both"/>
        <w:rPr>
          <w:rFonts w:ascii="Verdana" w:hAnsi="Verdana"/>
          <w:sz w:val="20"/>
          <w:szCs w:val="20"/>
        </w:rPr>
      </w:pPr>
      <w:r>
        <w:rPr>
          <w:rFonts w:ascii="Verdana" w:hAnsi="Verdana"/>
          <w:sz w:val="20"/>
          <w:szCs w:val="20"/>
        </w:rPr>
        <w:t>2.5.3.</w:t>
      </w:r>
    </w:p>
    <w:p w14:paraId="08A3A043" w14:textId="14B8FDED" w:rsidR="009D1CDF" w:rsidRPr="00507671" w:rsidRDefault="009D1CDF" w:rsidP="009D1CDF">
      <w:pPr>
        <w:spacing w:after="0"/>
        <w:jc w:val="both"/>
        <w:rPr>
          <w:rFonts w:ascii="Verdana" w:hAnsi="Verdana"/>
          <w:sz w:val="20"/>
          <w:szCs w:val="20"/>
        </w:rPr>
      </w:pPr>
      <w:r w:rsidRPr="00507671">
        <w:rPr>
          <w:rFonts w:ascii="Verdana" w:hAnsi="Verdana"/>
          <w:sz w:val="20"/>
          <w:szCs w:val="20"/>
        </w:rPr>
        <w:t xml:space="preserve">El patrimonio técnico y el patrimonio adecuado de los conglomerados financieros se debe calcular de conformidad con lo establecido en el </w:t>
      </w:r>
      <w:r w:rsidR="0066078B">
        <w:rPr>
          <w:rFonts w:ascii="Verdana" w:hAnsi="Verdana"/>
          <w:sz w:val="20"/>
          <w:szCs w:val="20"/>
        </w:rPr>
        <w:t>t</w:t>
      </w:r>
      <w:r w:rsidRPr="00507671">
        <w:rPr>
          <w:rFonts w:ascii="Verdana" w:hAnsi="Verdana"/>
          <w:sz w:val="20"/>
          <w:szCs w:val="20"/>
        </w:rPr>
        <w:t xml:space="preserve">ítulo 2 del </w:t>
      </w:r>
      <w:r w:rsidR="0066078B">
        <w:rPr>
          <w:rFonts w:ascii="Verdana" w:hAnsi="Verdana"/>
          <w:sz w:val="20"/>
          <w:szCs w:val="20"/>
        </w:rPr>
        <w:t>l</w:t>
      </w:r>
      <w:r w:rsidRPr="00507671">
        <w:rPr>
          <w:rFonts w:ascii="Verdana" w:hAnsi="Verdana"/>
          <w:sz w:val="20"/>
          <w:szCs w:val="20"/>
        </w:rPr>
        <w:t xml:space="preserve">ibro 39 de la </w:t>
      </w:r>
      <w:r w:rsidR="0066078B">
        <w:rPr>
          <w:rFonts w:ascii="Verdana" w:hAnsi="Verdana"/>
          <w:sz w:val="20"/>
          <w:szCs w:val="20"/>
        </w:rPr>
        <w:t>p</w:t>
      </w:r>
      <w:r w:rsidRPr="00507671">
        <w:rPr>
          <w:rFonts w:ascii="Verdana" w:hAnsi="Verdana"/>
          <w:sz w:val="20"/>
          <w:szCs w:val="20"/>
        </w:rPr>
        <w:t>arte 2 del Decreto 2555 de 2010.</w:t>
      </w:r>
    </w:p>
    <w:p w14:paraId="4369E953" w14:textId="77777777" w:rsidR="009D1CDF" w:rsidRPr="00507671" w:rsidRDefault="009D1CDF" w:rsidP="00860E84">
      <w:pPr>
        <w:spacing w:after="0"/>
        <w:jc w:val="both"/>
        <w:rPr>
          <w:rFonts w:ascii="Verdana" w:hAnsi="Verdana"/>
          <w:sz w:val="20"/>
          <w:szCs w:val="20"/>
        </w:rPr>
      </w:pPr>
    </w:p>
    <w:p w14:paraId="5128E0D4" w14:textId="77777777" w:rsidR="009D1CDF" w:rsidRPr="00D537E4" w:rsidRDefault="009D1CDF" w:rsidP="00D537E4">
      <w:pPr>
        <w:spacing w:after="0"/>
        <w:jc w:val="both"/>
        <w:rPr>
          <w:rFonts w:ascii="Verdana" w:hAnsi="Verdana"/>
          <w:b/>
          <w:sz w:val="20"/>
          <w:szCs w:val="20"/>
        </w:rPr>
      </w:pPr>
      <w:r w:rsidRPr="00D537E4">
        <w:rPr>
          <w:rFonts w:ascii="Verdana" w:hAnsi="Verdana"/>
          <w:b/>
          <w:sz w:val="20"/>
          <w:szCs w:val="20"/>
        </w:rPr>
        <w:t>Definición de la base de cálculo del patrimonio técnico y adecuado</w:t>
      </w:r>
    </w:p>
    <w:p w14:paraId="28461064" w14:textId="77777777" w:rsidR="009D1CDF" w:rsidRPr="00507671" w:rsidRDefault="009D1CDF" w:rsidP="009D1CDF">
      <w:pPr>
        <w:spacing w:after="0"/>
        <w:jc w:val="both"/>
        <w:rPr>
          <w:rFonts w:ascii="Verdana" w:hAnsi="Verdana"/>
          <w:sz w:val="20"/>
          <w:szCs w:val="20"/>
        </w:rPr>
      </w:pPr>
    </w:p>
    <w:p w14:paraId="07E78301" w14:textId="323A946B" w:rsidR="00461670" w:rsidRDefault="00461670" w:rsidP="00461670">
      <w:pPr>
        <w:spacing w:after="0"/>
        <w:jc w:val="both"/>
        <w:rPr>
          <w:rFonts w:ascii="Verdana" w:hAnsi="Verdana"/>
          <w:sz w:val="20"/>
          <w:szCs w:val="20"/>
        </w:rPr>
      </w:pPr>
      <w:r>
        <w:rPr>
          <w:rFonts w:ascii="Verdana" w:hAnsi="Verdana"/>
          <w:sz w:val="20"/>
          <w:szCs w:val="20"/>
        </w:rPr>
        <w:t>2.5.4.</w:t>
      </w:r>
    </w:p>
    <w:p w14:paraId="22EF8AF8" w14:textId="7C2DC518" w:rsidR="009D1CDF" w:rsidRPr="00507671" w:rsidRDefault="009D1CDF" w:rsidP="009D1CDF">
      <w:pPr>
        <w:spacing w:after="0"/>
        <w:jc w:val="both"/>
        <w:rPr>
          <w:rFonts w:ascii="Verdana" w:hAnsi="Verdana"/>
          <w:sz w:val="20"/>
          <w:szCs w:val="20"/>
        </w:rPr>
      </w:pPr>
      <w:r w:rsidRPr="00507671">
        <w:rPr>
          <w:rFonts w:ascii="Verdana" w:hAnsi="Verdana"/>
          <w:sz w:val="20"/>
          <w:szCs w:val="20"/>
        </w:rPr>
        <w:t xml:space="preserve">El holding financiero debe informar a la SFC la decisión de utilizar la base de información del numeral 1 del artículo 2.39.2.1.3 del Decreto 2555 de 2010. En el caso en que el holding financiero decida utilizar las bases de </w:t>
      </w:r>
      <w:r w:rsidR="00BA5B4B">
        <w:rPr>
          <w:rFonts w:ascii="Verdana" w:hAnsi="Verdana"/>
          <w:sz w:val="20"/>
          <w:szCs w:val="20"/>
        </w:rPr>
        <w:t xml:space="preserve">información financiera de </w:t>
      </w:r>
      <w:r w:rsidRPr="00507671">
        <w:rPr>
          <w:rFonts w:ascii="Verdana" w:hAnsi="Verdana"/>
          <w:sz w:val="20"/>
          <w:szCs w:val="20"/>
        </w:rPr>
        <w:t xml:space="preserve">los </w:t>
      </w:r>
      <w:r w:rsidR="004955F2">
        <w:rPr>
          <w:rFonts w:ascii="Verdana" w:hAnsi="Verdana"/>
          <w:sz w:val="20"/>
          <w:szCs w:val="20"/>
        </w:rPr>
        <w:t xml:space="preserve">numerales </w:t>
      </w:r>
      <w:r w:rsidR="007F07B0">
        <w:rPr>
          <w:rFonts w:ascii="Verdana" w:hAnsi="Verdana"/>
          <w:sz w:val="20"/>
          <w:szCs w:val="20"/>
        </w:rPr>
        <w:t xml:space="preserve">2 o 3 del artículo antes citado </w:t>
      </w:r>
      <w:r w:rsidRPr="00507671">
        <w:rPr>
          <w:rFonts w:ascii="Verdana" w:hAnsi="Verdana"/>
          <w:sz w:val="20"/>
          <w:szCs w:val="20"/>
        </w:rPr>
        <w:t xml:space="preserve">deben informarlo a la SFC dentro de los 2 meses siguientes al acto administrativo que lo haya identificado como parte de un conglomerado financiero sujeto a su supervisión de la SFC, o en el plazo previsto en el respectivo acto administrativo, y adjuntar la respectiva justificación técnica, indicando la decisión de la base de cálculo para la determinación del patrimonio técnico y adecuado del conglomerado financiero, así como el sustento cualitativo y cuantitativo para no adoptar la base de cálculo definida en el numeral 1 del artículo </w:t>
      </w:r>
      <w:r w:rsidR="00C100C1" w:rsidRPr="00507671">
        <w:rPr>
          <w:rFonts w:ascii="Verdana" w:hAnsi="Verdana"/>
          <w:sz w:val="20"/>
          <w:szCs w:val="20"/>
        </w:rPr>
        <w:t>2.39.2.1.3 del Decreto 2555 de 2010</w:t>
      </w:r>
      <w:r w:rsidR="00C100C1">
        <w:rPr>
          <w:rFonts w:ascii="Verdana" w:hAnsi="Verdana"/>
          <w:sz w:val="20"/>
          <w:szCs w:val="20"/>
        </w:rPr>
        <w:t xml:space="preserve">, </w:t>
      </w:r>
      <w:r w:rsidR="006D2028">
        <w:rPr>
          <w:rFonts w:ascii="Verdana" w:hAnsi="Verdana"/>
          <w:sz w:val="20"/>
          <w:szCs w:val="20"/>
        </w:rPr>
        <w:t xml:space="preserve">aquí </w:t>
      </w:r>
      <w:r w:rsidRPr="00507671">
        <w:rPr>
          <w:rFonts w:ascii="Verdana" w:hAnsi="Verdana"/>
          <w:sz w:val="20"/>
          <w:szCs w:val="20"/>
        </w:rPr>
        <w:t>citado.</w:t>
      </w:r>
    </w:p>
    <w:p w14:paraId="5AB3203D" w14:textId="77777777" w:rsidR="009D1CDF" w:rsidRPr="00507671" w:rsidRDefault="009D1CDF" w:rsidP="009D1CDF">
      <w:pPr>
        <w:spacing w:after="0"/>
        <w:jc w:val="both"/>
        <w:rPr>
          <w:rFonts w:ascii="Verdana" w:hAnsi="Verdana"/>
          <w:sz w:val="20"/>
          <w:szCs w:val="20"/>
        </w:rPr>
      </w:pPr>
    </w:p>
    <w:p w14:paraId="41C0B98B" w14:textId="65275663" w:rsidR="009E240D" w:rsidRDefault="009E240D" w:rsidP="009E240D">
      <w:pPr>
        <w:spacing w:after="0"/>
        <w:jc w:val="both"/>
        <w:rPr>
          <w:rFonts w:ascii="Verdana" w:hAnsi="Verdana"/>
          <w:sz w:val="20"/>
          <w:szCs w:val="20"/>
        </w:rPr>
      </w:pPr>
      <w:r>
        <w:rPr>
          <w:rFonts w:ascii="Verdana" w:hAnsi="Verdana"/>
          <w:sz w:val="20"/>
          <w:szCs w:val="20"/>
        </w:rPr>
        <w:t>2.5.5.</w:t>
      </w:r>
    </w:p>
    <w:p w14:paraId="24E89D54"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Cualquier modificación que se prevea efectuar sobre la base de cálculo escogida debe ser remitida a la SFC, y será aplicable a partir de los 6 meses siguientes de su remisión a esta Entidad, o en el término superior acordado con esta Superintendencia de acuerdo con la justificación técnica remitida por el holding financiero.</w:t>
      </w:r>
    </w:p>
    <w:p w14:paraId="0AE858D7" w14:textId="77777777" w:rsidR="009D1CDF" w:rsidRPr="00507671" w:rsidRDefault="009D1CDF" w:rsidP="009D1CDF">
      <w:pPr>
        <w:spacing w:after="0"/>
        <w:jc w:val="both"/>
        <w:rPr>
          <w:rFonts w:ascii="Verdana" w:hAnsi="Verdana"/>
          <w:sz w:val="20"/>
          <w:szCs w:val="20"/>
        </w:rPr>
      </w:pPr>
    </w:p>
    <w:p w14:paraId="0EA4E1DC" w14:textId="77777777" w:rsidR="009D1CDF" w:rsidRPr="00D537E4" w:rsidRDefault="009D1CDF" w:rsidP="00D537E4">
      <w:pPr>
        <w:spacing w:after="0"/>
        <w:jc w:val="both"/>
        <w:rPr>
          <w:rFonts w:ascii="Verdana" w:hAnsi="Verdana"/>
          <w:b/>
          <w:sz w:val="20"/>
          <w:szCs w:val="20"/>
        </w:rPr>
      </w:pPr>
      <w:r w:rsidRPr="00D537E4">
        <w:rPr>
          <w:rFonts w:ascii="Verdana" w:hAnsi="Verdana"/>
          <w:b/>
          <w:sz w:val="20"/>
          <w:szCs w:val="20"/>
        </w:rPr>
        <w:t>Definición del régimen de patrimonio técnico y de los niveles mínimos de patrimonio técnico</w:t>
      </w:r>
    </w:p>
    <w:p w14:paraId="66797FC6" w14:textId="77777777" w:rsidR="009D1CDF" w:rsidRPr="00507671" w:rsidRDefault="009D1CDF" w:rsidP="009D1CDF">
      <w:pPr>
        <w:spacing w:after="0"/>
        <w:jc w:val="both"/>
        <w:rPr>
          <w:rFonts w:ascii="Verdana" w:hAnsi="Verdana"/>
          <w:sz w:val="20"/>
          <w:szCs w:val="20"/>
        </w:rPr>
      </w:pPr>
    </w:p>
    <w:p w14:paraId="312A0841" w14:textId="661B5D05" w:rsidR="009E240D" w:rsidRDefault="009E240D" w:rsidP="009E240D">
      <w:pPr>
        <w:spacing w:after="0"/>
        <w:jc w:val="both"/>
        <w:rPr>
          <w:rFonts w:ascii="Verdana" w:hAnsi="Verdana"/>
          <w:sz w:val="20"/>
          <w:szCs w:val="20"/>
        </w:rPr>
      </w:pPr>
      <w:r>
        <w:rPr>
          <w:rFonts w:ascii="Verdana" w:hAnsi="Verdana"/>
          <w:sz w:val="20"/>
          <w:szCs w:val="20"/>
        </w:rPr>
        <w:t>2.5.6.</w:t>
      </w:r>
    </w:p>
    <w:p w14:paraId="5E27BA60"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Las entidades vigiladas por la SFC que hacen parte del conglomerado financiero que tengan establecida una definición regulatoria en Colombia de patrimonio técnico y de niveles mínimos de patrimonio técnico, deben continuar aplicando las instrucciones establecidas por la SFC para el efecto.</w:t>
      </w:r>
    </w:p>
    <w:p w14:paraId="3525E0D9" w14:textId="77777777" w:rsidR="009D1CDF" w:rsidRPr="00507671" w:rsidRDefault="009D1CDF" w:rsidP="009D1CDF">
      <w:pPr>
        <w:spacing w:after="0"/>
        <w:jc w:val="both"/>
        <w:rPr>
          <w:rFonts w:ascii="Verdana" w:hAnsi="Verdana"/>
          <w:sz w:val="20"/>
          <w:szCs w:val="20"/>
        </w:rPr>
      </w:pPr>
    </w:p>
    <w:p w14:paraId="42CC6833" w14:textId="70D6A6B0" w:rsidR="009E240D" w:rsidRDefault="009E240D" w:rsidP="009E240D">
      <w:pPr>
        <w:spacing w:after="0"/>
        <w:jc w:val="both"/>
        <w:rPr>
          <w:rFonts w:ascii="Verdana" w:hAnsi="Verdana"/>
          <w:sz w:val="20"/>
          <w:szCs w:val="20"/>
        </w:rPr>
      </w:pPr>
      <w:r>
        <w:rPr>
          <w:rFonts w:ascii="Verdana" w:hAnsi="Verdana"/>
          <w:sz w:val="20"/>
          <w:szCs w:val="20"/>
        </w:rPr>
        <w:t>2.5.7.</w:t>
      </w:r>
    </w:p>
    <w:p w14:paraId="092FB4DC"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 xml:space="preserve">Respecto de las entidades que hacen parte del conglomerado que no cuenten con definición de patrimonio técnico y de niveles mínimos de patrimonio técnico bajo la </w:t>
      </w:r>
      <w:r w:rsidRPr="00507671">
        <w:rPr>
          <w:rFonts w:ascii="Verdana" w:hAnsi="Verdana"/>
          <w:sz w:val="20"/>
          <w:szCs w:val="20"/>
        </w:rPr>
        <w:lastRenderedPageBreak/>
        <w:t>normatividad vigente en Colombia, y para efectos exclusivos del cálculo del capital adecuado del conglomerado financiero, el holding financiero debe aplicar las definiciones y criterios contenidos en las instrucciones de la SFC que le sean aplicables a las entidades vigiladas con actividades semejantes o que mejor reflejen la realidad económica y financiera de la entidad; igualmente, deben aplicar las instrucciones contenidas en la presente Circular. Lo anterior no implica que a estas entidades les apliquen requerimientos de solvencia a nivel individual, ni que se modifique el régimen vigente para las vigiladas por la SFC.</w:t>
      </w:r>
    </w:p>
    <w:p w14:paraId="063A0F1A" w14:textId="77777777" w:rsidR="009D1CDF" w:rsidRPr="00507671" w:rsidRDefault="009D1CDF" w:rsidP="009D1CDF">
      <w:pPr>
        <w:spacing w:after="0"/>
        <w:jc w:val="both"/>
        <w:rPr>
          <w:rFonts w:ascii="Verdana" w:hAnsi="Verdana"/>
          <w:sz w:val="20"/>
          <w:szCs w:val="20"/>
        </w:rPr>
      </w:pPr>
    </w:p>
    <w:p w14:paraId="75C597E2" w14:textId="70CBC16D" w:rsidR="009E240D" w:rsidRDefault="009E240D" w:rsidP="009E240D">
      <w:pPr>
        <w:spacing w:after="0"/>
        <w:jc w:val="both"/>
        <w:rPr>
          <w:rFonts w:ascii="Verdana" w:hAnsi="Verdana"/>
          <w:sz w:val="20"/>
          <w:szCs w:val="20"/>
        </w:rPr>
      </w:pPr>
      <w:r>
        <w:rPr>
          <w:rFonts w:ascii="Verdana" w:hAnsi="Verdana"/>
          <w:sz w:val="20"/>
          <w:szCs w:val="20"/>
        </w:rPr>
        <w:t>2.5.8.</w:t>
      </w:r>
    </w:p>
    <w:p w14:paraId="7C620E3E"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El holding financiero debe remitir para la aprobación de la SFC, dentro de los 2 meses siguientes al acto administrativo que lo identifica como parte de un conglomerado financiero sujeto a su supervisión, o en el plazo previsto en el respectivo acto administrativo, el listado de las entidades a las que se hace referencia en el párrafo precedente, junto con el régimen de patrimonio técnico y de niveles mínimos de patrimonio técnico seleccionado para cada una de ellas; lo anterior, con fundamento en lo previsto en el artículo 2.39.2.1.3 y siguientes del Decreto 2555 de 2010. En caso de que con posterioridad a la aprobación de la SFC se presenten modificaciones en el listado de entidades que conforman el conglomerado financiero que no cuenten con definición de patrimonio técnico y de niveles mínimos de patrimonio técnico bajo la normatividad vigente en Colombia y en los regímenes escogidos, el holding financiero debe remitir nuevamente la respectiva documentación para su aprobación.</w:t>
      </w:r>
    </w:p>
    <w:p w14:paraId="58C94A65" w14:textId="77777777" w:rsidR="009D1CDF" w:rsidRPr="00507671" w:rsidRDefault="009D1CDF" w:rsidP="009D1CDF">
      <w:pPr>
        <w:spacing w:after="0"/>
        <w:jc w:val="both"/>
        <w:rPr>
          <w:rFonts w:ascii="Verdana" w:hAnsi="Verdana"/>
          <w:sz w:val="20"/>
          <w:szCs w:val="20"/>
        </w:rPr>
      </w:pPr>
    </w:p>
    <w:p w14:paraId="3D37F7DB" w14:textId="151D76EE" w:rsidR="009D1CDF" w:rsidRPr="00D537E4" w:rsidRDefault="00860E84" w:rsidP="00D537E4">
      <w:pPr>
        <w:spacing w:after="0"/>
        <w:jc w:val="both"/>
        <w:rPr>
          <w:rFonts w:ascii="Verdana" w:hAnsi="Verdana"/>
          <w:b/>
          <w:sz w:val="20"/>
          <w:szCs w:val="20"/>
        </w:rPr>
      </w:pPr>
      <w:r>
        <w:rPr>
          <w:rFonts w:ascii="Verdana" w:hAnsi="Verdana"/>
          <w:b/>
          <w:sz w:val="20"/>
          <w:szCs w:val="20"/>
        </w:rPr>
        <w:t>O</w:t>
      </w:r>
      <w:r w:rsidRPr="00D537E4">
        <w:rPr>
          <w:rFonts w:ascii="Verdana" w:hAnsi="Verdana"/>
          <w:b/>
          <w:sz w:val="20"/>
          <w:szCs w:val="20"/>
        </w:rPr>
        <w:t>tros rubros patrimoniales del patrimonio técnico del holding financiero</w:t>
      </w:r>
    </w:p>
    <w:p w14:paraId="272C6D5E" w14:textId="77777777" w:rsidR="009D1CDF" w:rsidRPr="00507671" w:rsidRDefault="009D1CDF" w:rsidP="009D1CDF">
      <w:pPr>
        <w:spacing w:after="0"/>
        <w:jc w:val="both"/>
        <w:rPr>
          <w:rFonts w:ascii="Verdana" w:hAnsi="Verdana"/>
          <w:sz w:val="20"/>
          <w:szCs w:val="20"/>
        </w:rPr>
      </w:pPr>
    </w:p>
    <w:p w14:paraId="53C869BC" w14:textId="23A8BBCE" w:rsidR="009E240D" w:rsidRDefault="009E240D" w:rsidP="009E240D">
      <w:pPr>
        <w:spacing w:after="0"/>
        <w:jc w:val="both"/>
        <w:rPr>
          <w:rFonts w:ascii="Verdana" w:hAnsi="Verdana"/>
          <w:sz w:val="20"/>
          <w:szCs w:val="20"/>
        </w:rPr>
      </w:pPr>
      <w:r>
        <w:rPr>
          <w:rFonts w:ascii="Verdana" w:hAnsi="Verdana"/>
          <w:sz w:val="20"/>
          <w:szCs w:val="20"/>
        </w:rPr>
        <w:t>2.5.9.</w:t>
      </w:r>
    </w:p>
    <w:p w14:paraId="6E6C7CB2" w14:textId="0A534CCD" w:rsidR="009D1CDF" w:rsidRPr="00507671" w:rsidRDefault="009D1CDF" w:rsidP="009D1CDF">
      <w:pPr>
        <w:spacing w:after="0"/>
        <w:jc w:val="both"/>
        <w:rPr>
          <w:rFonts w:ascii="Verdana" w:hAnsi="Verdana"/>
          <w:sz w:val="20"/>
          <w:szCs w:val="20"/>
        </w:rPr>
      </w:pPr>
      <w:r w:rsidRPr="00507671">
        <w:rPr>
          <w:rFonts w:ascii="Verdana" w:hAnsi="Verdana"/>
          <w:sz w:val="20"/>
          <w:szCs w:val="20"/>
        </w:rPr>
        <w:t xml:space="preserve">En desarrollo de lo previsto en el segundo párrafo del literal </w:t>
      </w:r>
      <w:r w:rsidR="00213B2E">
        <w:rPr>
          <w:rFonts w:ascii="Verdana" w:hAnsi="Verdana"/>
          <w:sz w:val="20"/>
          <w:szCs w:val="20"/>
        </w:rPr>
        <w:t>(</w:t>
      </w:r>
      <w:r w:rsidRPr="00507671">
        <w:rPr>
          <w:rFonts w:ascii="Verdana" w:hAnsi="Verdana"/>
          <w:sz w:val="20"/>
          <w:szCs w:val="20"/>
        </w:rPr>
        <w:t>b)</w:t>
      </w:r>
      <w:r w:rsidR="00213B2E">
        <w:rPr>
          <w:rFonts w:ascii="Verdana" w:hAnsi="Verdana"/>
          <w:sz w:val="20"/>
          <w:szCs w:val="20"/>
        </w:rPr>
        <w:t xml:space="preserve"> del</w:t>
      </w:r>
      <w:r w:rsidRPr="00507671">
        <w:rPr>
          <w:rFonts w:ascii="Verdana" w:hAnsi="Verdana"/>
          <w:sz w:val="20"/>
          <w:szCs w:val="20"/>
        </w:rPr>
        <w:t xml:space="preserve"> numeral 1 del artículo 2.39.2.1.4 del Decreto 2555 de 2010, el holding financiero que no cuente con una definición de patrimonio técnico en el citado decreto puede considerar los siguientes rubros del patrimonio contable, cuando éstos no se encuentren incluidos dentro del régimen seleccionado:</w:t>
      </w:r>
    </w:p>
    <w:p w14:paraId="52F8B8CA" w14:textId="77777777" w:rsidR="009D1CDF" w:rsidRPr="00507671" w:rsidRDefault="009D1CDF" w:rsidP="009D1CDF">
      <w:pPr>
        <w:spacing w:after="0"/>
        <w:jc w:val="both"/>
        <w:rPr>
          <w:rFonts w:ascii="Verdana" w:hAnsi="Verdana"/>
          <w:sz w:val="20"/>
          <w:szCs w:val="20"/>
        </w:rPr>
      </w:pPr>
    </w:p>
    <w:p w14:paraId="2AD60E9A" w14:textId="4DD56007" w:rsidR="009D1CDF" w:rsidRPr="00D537E4" w:rsidRDefault="009D1CDF" w:rsidP="00F93ADE">
      <w:pPr>
        <w:pStyle w:val="Prrafodelista"/>
        <w:numPr>
          <w:ilvl w:val="0"/>
          <w:numId w:val="1"/>
        </w:numPr>
        <w:spacing w:after="0"/>
        <w:ind w:left="567" w:hanging="567"/>
        <w:jc w:val="both"/>
        <w:rPr>
          <w:rFonts w:ascii="Verdana" w:hAnsi="Verdana"/>
          <w:sz w:val="20"/>
          <w:szCs w:val="20"/>
        </w:rPr>
      </w:pPr>
      <w:r w:rsidRPr="00D537E4">
        <w:rPr>
          <w:rFonts w:ascii="Verdana" w:hAnsi="Verdana"/>
          <w:sz w:val="20"/>
          <w:szCs w:val="20"/>
        </w:rPr>
        <w:t>Otras reservas: Incluido el resultado del proceso de convergencia a NIIF, excluyendo el efecto del superávit por valorización de propiedad, planta y equipo.</w:t>
      </w:r>
    </w:p>
    <w:p w14:paraId="003709A3" w14:textId="77777777" w:rsidR="00860E84" w:rsidRDefault="00860E84" w:rsidP="00860E84">
      <w:pPr>
        <w:spacing w:after="0"/>
        <w:ind w:left="567"/>
        <w:jc w:val="both"/>
        <w:rPr>
          <w:rFonts w:ascii="Verdana" w:hAnsi="Verdana"/>
          <w:sz w:val="20"/>
          <w:szCs w:val="20"/>
        </w:rPr>
      </w:pPr>
    </w:p>
    <w:p w14:paraId="70FAEF07" w14:textId="5AFB92AE" w:rsidR="009D1CDF" w:rsidRPr="00507671" w:rsidRDefault="009D1CDF" w:rsidP="00F93ADE">
      <w:pPr>
        <w:numPr>
          <w:ilvl w:val="0"/>
          <w:numId w:val="1"/>
        </w:numPr>
        <w:spacing w:after="0"/>
        <w:ind w:left="567" w:hanging="567"/>
        <w:jc w:val="both"/>
        <w:rPr>
          <w:rFonts w:ascii="Verdana" w:hAnsi="Verdana"/>
          <w:sz w:val="20"/>
          <w:szCs w:val="20"/>
        </w:rPr>
      </w:pPr>
      <w:r w:rsidRPr="00507671">
        <w:rPr>
          <w:rFonts w:ascii="Verdana" w:hAnsi="Verdana"/>
          <w:sz w:val="20"/>
          <w:szCs w:val="20"/>
        </w:rPr>
        <w:t>Otros resultados integrales, excluido el efecto del superávit por valorización de propiedad, planta y equipo.</w:t>
      </w:r>
    </w:p>
    <w:p w14:paraId="79CD61CC" w14:textId="77777777" w:rsidR="00860E84" w:rsidRDefault="00860E84" w:rsidP="00860E84">
      <w:pPr>
        <w:spacing w:after="0"/>
        <w:ind w:left="567"/>
        <w:jc w:val="both"/>
        <w:rPr>
          <w:rFonts w:ascii="Verdana" w:hAnsi="Verdana"/>
          <w:sz w:val="20"/>
          <w:szCs w:val="20"/>
        </w:rPr>
      </w:pPr>
    </w:p>
    <w:p w14:paraId="65B0CB83" w14:textId="51AD20BA" w:rsidR="009D1CDF" w:rsidRPr="00507671" w:rsidRDefault="009D1CDF" w:rsidP="00F93ADE">
      <w:pPr>
        <w:numPr>
          <w:ilvl w:val="0"/>
          <w:numId w:val="1"/>
        </w:numPr>
        <w:spacing w:after="0"/>
        <w:ind w:left="567" w:hanging="567"/>
        <w:jc w:val="both"/>
        <w:rPr>
          <w:rFonts w:ascii="Verdana" w:hAnsi="Verdana"/>
          <w:sz w:val="20"/>
          <w:szCs w:val="20"/>
        </w:rPr>
      </w:pPr>
      <w:r w:rsidRPr="00507671">
        <w:rPr>
          <w:rFonts w:ascii="Verdana" w:hAnsi="Verdana"/>
          <w:sz w:val="20"/>
          <w:szCs w:val="20"/>
        </w:rPr>
        <w:t>Utilidades y pérdidas del ejercicio en curso.</w:t>
      </w:r>
    </w:p>
    <w:p w14:paraId="2F927B9B" w14:textId="77777777" w:rsidR="00860E84" w:rsidRDefault="00860E84" w:rsidP="00860E84">
      <w:pPr>
        <w:spacing w:after="0"/>
        <w:ind w:left="567"/>
        <w:jc w:val="both"/>
        <w:rPr>
          <w:rFonts w:ascii="Verdana" w:hAnsi="Verdana"/>
          <w:sz w:val="20"/>
          <w:szCs w:val="20"/>
        </w:rPr>
      </w:pPr>
    </w:p>
    <w:p w14:paraId="4A7C570D" w14:textId="12AA6FDF" w:rsidR="009D1CDF" w:rsidRPr="00507671" w:rsidRDefault="009D1CDF" w:rsidP="00F93ADE">
      <w:pPr>
        <w:numPr>
          <w:ilvl w:val="0"/>
          <w:numId w:val="1"/>
        </w:numPr>
        <w:spacing w:after="0"/>
        <w:ind w:left="567" w:hanging="567"/>
        <w:jc w:val="both"/>
        <w:rPr>
          <w:rFonts w:ascii="Verdana" w:hAnsi="Verdana"/>
          <w:sz w:val="20"/>
          <w:szCs w:val="20"/>
        </w:rPr>
      </w:pPr>
      <w:r w:rsidRPr="00507671">
        <w:rPr>
          <w:rFonts w:ascii="Verdana" w:hAnsi="Verdana"/>
          <w:sz w:val="20"/>
          <w:szCs w:val="20"/>
        </w:rPr>
        <w:t>Utilidades y pérdidas de ejercicios anteriores.</w:t>
      </w:r>
    </w:p>
    <w:p w14:paraId="1F246E3C" w14:textId="77777777" w:rsidR="009D1CDF" w:rsidRPr="00507671" w:rsidRDefault="009D1CDF" w:rsidP="009D1CDF">
      <w:pPr>
        <w:spacing w:after="0"/>
        <w:jc w:val="both"/>
        <w:rPr>
          <w:rFonts w:ascii="Verdana" w:hAnsi="Verdana"/>
          <w:sz w:val="20"/>
          <w:szCs w:val="20"/>
        </w:rPr>
      </w:pPr>
    </w:p>
    <w:p w14:paraId="1B398CDA" w14:textId="09DD57D2" w:rsidR="009E240D" w:rsidRDefault="009E240D" w:rsidP="009E240D">
      <w:pPr>
        <w:spacing w:after="0"/>
        <w:jc w:val="both"/>
        <w:rPr>
          <w:rFonts w:ascii="Verdana" w:hAnsi="Verdana"/>
          <w:sz w:val="20"/>
          <w:szCs w:val="20"/>
        </w:rPr>
      </w:pPr>
      <w:r>
        <w:rPr>
          <w:rFonts w:ascii="Verdana" w:hAnsi="Verdana"/>
          <w:sz w:val="20"/>
          <w:szCs w:val="20"/>
        </w:rPr>
        <w:t>2.5.10.</w:t>
      </w:r>
    </w:p>
    <w:p w14:paraId="53A5A579" w14:textId="1E5C21B1" w:rsidR="009D1CDF" w:rsidRPr="00507671" w:rsidRDefault="009D1CDF" w:rsidP="009D1CDF">
      <w:pPr>
        <w:spacing w:after="0"/>
        <w:jc w:val="both"/>
        <w:rPr>
          <w:rFonts w:ascii="Verdana" w:hAnsi="Verdana"/>
          <w:sz w:val="20"/>
          <w:szCs w:val="20"/>
        </w:rPr>
      </w:pPr>
      <w:r w:rsidRPr="00507671">
        <w:rPr>
          <w:rFonts w:ascii="Verdana" w:hAnsi="Verdana"/>
          <w:sz w:val="20"/>
          <w:szCs w:val="20"/>
        </w:rPr>
        <w:t xml:space="preserve">Para el reconocimiento de los rubros señalados en los </w:t>
      </w:r>
      <w:r w:rsidR="00DD63AF" w:rsidRPr="00B21419">
        <w:rPr>
          <w:rFonts w:ascii="Verdana" w:hAnsi="Verdana"/>
          <w:sz w:val="20"/>
          <w:szCs w:val="20"/>
        </w:rPr>
        <w:t>literales a y b</w:t>
      </w:r>
      <w:r w:rsidRPr="00B21419">
        <w:rPr>
          <w:rFonts w:ascii="Verdana" w:hAnsi="Verdana"/>
          <w:sz w:val="20"/>
          <w:szCs w:val="20"/>
        </w:rPr>
        <w:t xml:space="preserve"> </w:t>
      </w:r>
      <w:r w:rsidR="004E5D0E" w:rsidRPr="00B21419">
        <w:rPr>
          <w:rFonts w:ascii="Verdana" w:hAnsi="Verdana"/>
          <w:sz w:val="20"/>
          <w:szCs w:val="20"/>
        </w:rPr>
        <w:t>del párrafo 2.5.9</w:t>
      </w:r>
      <w:r w:rsidRPr="00B21419">
        <w:rPr>
          <w:rFonts w:ascii="Verdana" w:hAnsi="Verdana"/>
          <w:sz w:val="20"/>
          <w:szCs w:val="20"/>
        </w:rPr>
        <w:t>,</w:t>
      </w:r>
      <w:r w:rsidRPr="00507671">
        <w:rPr>
          <w:rFonts w:ascii="Verdana" w:hAnsi="Verdana"/>
          <w:sz w:val="20"/>
          <w:szCs w:val="20"/>
        </w:rPr>
        <w:t xml:space="preserve"> el holding financiero debe justificar técnicamente su inclusión como parte del patrimonio técnico, teniendo en cuenta la capacidad de absorción de pérdidas de tales elementos del capital</w:t>
      </w:r>
      <w:r w:rsidR="00C77DAB">
        <w:rPr>
          <w:rFonts w:ascii="Verdana" w:hAnsi="Verdana"/>
          <w:sz w:val="20"/>
          <w:szCs w:val="20"/>
        </w:rPr>
        <w:t>.</w:t>
      </w:r>
    </w:p>
    <w:p w14:paraId="14C9FD35" w14:textId="77777777" w:rsidR="009D1CDF" w:rsidRPr="00507671" w:rsidRDefault="009D1CDF" w:rsidP="009D1CDF">
      <w:pPr>
        <w:spacing w:after="0"/>
        <w:jc w:val="both"/>
        <w:rPr>
          <w:rFonts w:ascii="Verdana" w:hAnsi="Verdana"/>
          <w:b/>
          <w:sz w:val="20"/>
          <w:szCs w:val="20"/>
        </w:rPr>
      </w:pPr>
    </w:p>
    <w:p w14:paraId="2791D99B" w14:textId="75490638" w:rsidR="00080486" w:rsidRDefault="00080486" w:rsidP="00080486">
      <w:pPr>
        <w:spacing w:after="0"/>
        <w:jc w:val="both"/>
        <w:rPr>
          <w:rFonts w:ascii="Verdana" w:hAnsi="Verdana"/>
          <w:sz w:val="20"/>
          <w:szCs w:val="20"/>
        </w:rPr>
      </w:pPr>
      <w:r>
        <w:rPr>
          <w:rFonts w:ascii="Verdana" w:hAnsi="Verdana"/>
          <w:sz w:val="20"/>
          <w:szCs w:val="20"/>
        </w:rPr>
        <w:t>2.5.11.</w:t>
      </w:r>
    </w:p>
    <w:p w14:paraId="2403A376"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Adicionalmente, en el cálculo del patrimonio técnico el holding financiero debe aplicar las deducciones previstas en el numeral 2 del artículo 2.39.2.1.4 del Decreto 2555 de 2010 y las correspondientes a la metodología establecida para la determinación del patrimonio técnico y los niveles mínimos de patrimonio técnico.</w:t>
      </w:r>
    </w:p>
    <w:p w14:paraId="3AA2AB1A" w14:textId="77777777" w:rsidR="009D1CDF" w:rsidRPr="00507671" w:rsidRDefault="009D1CDF" w:rsidP="009D1CDF">
      <w:pPr>
        <w:spacing w:after="0"/>
        <w:jc w:val="both"/>
        <w:rPr>
          <w:rFonts w:ascii="Verdana" w:hAnsi="Verdana"/>
          <w:sz w:val="20"/>
          <w:szCs w:val="20"/>
        </w:rPr>
      </w:pPr>
    </w:p>
    <w:p w14:paraId="0D8AD7FE" w14:textId="77777777" w:rsidR="009D1CDF" w:rsidRPr="0024094D" w:rsidRDefault="009D1CDF" w:rsidP="0024094D">
      <w:pPr>
        <w:spacing w:after="0"/>
        <w:jc w:val="both"/>
        <w:rPr>
          <w:rFonts w:ascii="Verdana" w:hAnsi="Verdana"/>
          <w:b/>
          <w:sz w:val="20"/>
          <w:szCs w:val="20"/>
        </w:rPr>
      </w:pPr>
      <w:r w:rsidRPr="0024094D">
        <w:rPr>
          <w:rFonts w:ascii="Verdana" w:hAnsi="Verdana"/>
          <w:b/>
          <w:sz w:val="20"/>
          <w:szCs w:val="20"/>
        </w:rPr>
        <w:t>Reconocimiento proporcional de los componentes del capital adecuado</w:t>
      </w:r>
    </w:p>
    <w:p w14:paraId="228CF30F" w14:textId="77777777" w:rsidR="009D1CDF" w:rsidRPr="00507671" w:rsidRDefault="009D1CDF" w:rsidP="009D1CDF">
      <w:pPr>
        <w:spacing w:after="0"/>
        <w:jc w:val="both"/>
        <w:rPr>
          <w:rFonts w:ascii="Verdana" w:hAnsi="Verdana"/>
          <w:sz w:val="20"/>
          <w:szCs w:val="20"/>
        </w:rPr>
      </w:pPr>
    </w:p>
    <w:p w14:paraId="0D8086DC" w14:textId="3B8751B9" w:rsidR="00080486" w:rsidRDefault="00080486" w:rsidP="00080486">
      <w:pPr>
        <w:spacing w:after="0"/>
        <w:jc w:val="both"/>
        <w:rPr>
          <w:rFonts w:ascii="Verdana" w:hAnsi="Verdana"/>
          <w:sz w:val="20"/>
          <w:szCs w:val="20"/>
        </w:rPr>
      </w:pPr>
      <w:r>
        <w:rPr>
          <w:rFonts w:ascii="Verdana" w:hAnsi="Verdana"/>
          <w:sz w:val="20"/>
          <w:szCs w:val="20"/>
        </w:rPr>
        <w:t>2.5.12.</w:t>
      </w:r>
    </w:p>
    <w:p w14:paraId="14553A61"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El reconocimiento del patrimonio técnico y de los niveles mínimos de patrimonio técnico de las entidades que hacen parte del conglomerado financiero, sobre las cuales el holding financiero ejerce influencia significativa en los términos del inciso 3 del artículo 3° de la Ley 1870 de 2017, debe ser proporcional a la participación directa e indirecta del holding en el total de las acciones de la respectiva entidad. Para el cálculo de dichos patrimonios se debe tomar en cuenta la información financiera a nivel consolidado de la entidad, salvo que sólo cuente con información financiera a nivel individual.</w:t>
      </w:r>
    </w:p>
    <w:p w14:paraId="24AD49FF" w14:textId="77777777" w:rsidR="009D1CDF" w:rsidRPr="00507671" w:rsidRDefault="009D1CDF" w:rsidP="009D1CDF">
      <w:pPr>
        <w:spacing w:after="0"/>
        <w:jc w:val="both"/>
        <w:rPr>
          <w:rFonts w:ascii="Verdana" w:hAnsi="Verdana"/>
          <w:sz w:val="20"/>
          <w:szCs w:val="20"/>
        </w:rPr>
      </w:pPr>
    </w:p>
    <w:p w14:paraId="51570298" w14:textId="587A8294" w:rsidR="00080486" w:rsidRDefault="00080486" w:rsidP="00080486">
      <w:pPr>
        <w:spacing w:after="0"/>
        <w:jc w:val="both"/>
        <w:rPr>
          <w:rFonts w:ascii="Verdana" w:hAnsi="Verdana"/>
          <w:sz w:val="20"/>
          <w:szCs w:val="20"/>
        </w:rPr>
      </w:pPr>
      <w:r>
        <w:rPr>
          <w:rFonts w:ascii="Verdana" w:hAnsi="Verdana"/>
          <w:sz w:val="20"/>
          <w:szCs w:val="20"/>
        </w:rPr>
        <w:lastRenderedPageBreak/>
        <w:t>2.5.13.</w:t>
      </w:r>
    </w:p>
    <w:p w14:paraId="26FC7C4D"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El mismo reconocimiento proporcional aplicará respecto de aquellas entidades sobre las cuales la SFC ejerza la facultad prevista en el literal l) numeral 3 del artículo 326 del EOSF, y las haya identificado como parte del conglomerado financiero en los términos del parágrafo 3° del artículo 6° de la Ley 1870 de 2017.</w:t>
      </w:r>
    </w:p>
    <w:p w14:paraId="3F396672" w14:textId="77777777" w:rsidR="009D1CDF" w:rsidRPr="00507671" w:rsidRDefault="009D1CDF" w:rsidP="009D1CDF">
      <w:pPr>
        <w:spacing w:after="0"/>
        <w:jc w:val="both"/>
        <w:rPr>
          <w:rFonts w:ascii="Verdana" w:hAnsi="Verdana"/>
          <w:sz w:val="20"/>
          <w:szCs w:val="20"/>
        </w:rPr>
      </w:pPr>
    </w:p>
    <w:p w14:paraId="6EF042BA" w14:textId="40ACB302" w:rsidR="00080486" w:rsidRDefault="00080486" w:rsidP="00080486">
      <w:pPr>
        <w:spacing w:after="0"/>
        <w:jc w:val="both"/>
        <w:rPr>
          <w:rFonts w:ascii="Verdana" w:hAnsi="Verdana"/>
          <w:sz w:val="20"/>
          <w:szCs w:val="20"/>
        </w:rPr>
      </w:pPr>
      <w:r>
        <w:rPr>
          <w:rFonts w:ascii="Verdana" w:hAnsi="Verdana"/>
          <w:sz w:val="20"/>
          <w:szCs w:val="20"/>
        </w:rPr>
        <w:t>2.5.14.</w:t>
      </w:r>
    </w:p>
    <w:p w14:paraId="181C0067"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El reconocimiento proporcional de los componentes del capital adecuado sólo aplica para los dos casos señalados en los incisos anteriores y no para las entidades sobre las cuales el holding financiero ejerce control y por lo tanto consolida estados financieros, caso en el cual el reconocimiento del patrimonio técnico y de los niveles mínimos de patrimonio técnico debe hacerse en su totalidad.</w:t>
      </w:r>
    </w:p>
    <w:p w14:paraId="054832DB" w14:textId="77777777" w:rsidR="009D1CDF" w:rsidRPr="00507671" w:rsidRDefault="009D1CDF" w:rsidP="009D1CDF">
      <w:pPr>
        <w:spacing w:after="0"/>
        <w:jc w:val="both"/>
        <w:rPr>
          <w:rFonts w:ascii="Verdana" w:hAnsi="Verdana"/>
          <w:sz w:val="20"/>
          <w:szCs w:val="20"/>
        </w:rPr>
      </w:pPr>
    </w:p>
    <w:p w14:paraId="3DD3C151" w14:textId="77777777" w:rsidR="009D1CDF" w:rsidRPr="003C6F09" w:rsidRDefault="009D1CDF" w:rsidP="003C6F09">
      <w:pPr>
        <w:spacing w:after="0"/>
        <w:jc w:val="both"/>
        <w:rPr>
          <w:rFonts w:ascii="Verdana" w:hAnsi="Verdana"/>
          <w:b/>
          <w:sz w:val="20"/>
          <w:szCs w:val="20"/>
        </w:rPr>
      </w:pPr>
      <w:r w:rsidRPr="003C6F09">
        <w:rPr>
          <w:rFonts w:ascii="Verdana" w:hAnsi="Verdana"/>
          <w:b/>
          <w:sz w:val="20"/>
          <w:szCs w:val="20"/>
        </w:rPr>
        <w:t>Cálculo de los niveles mínimos de patrimonio técnico de las entidades subordinadas en el exterior</w:t>
      </w:r>
    </w:p>
    <w:p w14:paraId="7FAC1E62" w14:textId="77777777" w:rsidR="009D1CDF" w:rsidRPr="00507671" w:rsidRDefault="009D1CDF" w:rsidP="009D1CDF">
      <w:pPr>
        <w:spacing w:after="0"/>
        <w:jc w:val="both"/>
        <w:rPr>
          <w:rFonts w:ascii="Verdana" w:hAnsi="Verdana"/>
          <w:sz w:val="20"/>
          <w:szCs w:val="20"/>
        </w:rPr>
      </w:pPr>
    </w:p>
    <w:p w14:paraId="3C5C2E8A" w14:textId="359AC14D" w:rsidR="00080486" w:rsidRDefault="00080486" w:rsidP="00080486">
      <w:pPr>
        <w:spacing w:after="0"/>
        <w:jc w:val="both"/>
        <w:rPr>
          <w:rFonts w:ascii="Verdana" w:hAnsi="Verdana"/>
          <w:sz w:val="20"/>
          <w:szCs w:val="20"/>
        </w:rPr>
      </w:pPr>
      <w:r>
        <w:rPr>
          <w:rFonts w:ascii="Verdana" w:hAnsi="Verdana"/>
          <w:sz w:val="20"/>
          <w:szCs w:val="20"/>
        </w:rPr>
        <w:t>2.5.15.</w:t>
      </w:r>
    </w:p>
    <w:p w14:paraId="09168D44"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Para el cálculo de los niveles mínimos de patrimonio técnico de las entidades subordinadas en el exterior que formen parte de un conglomerado financiero y que utilicen base de información separada o que sean consolidadas a través de una entidad que no cuente con requisitos de patrimonio técnico en el Decreto 2555 de 2010, el holding financiero debe tener en cuenta las siguientes instrucciones, conforme a la actividad desarrollada por cada entidad subordinada.</w:t>
      </w:r>
    </w:p>
    <w:p w14:paraId="41362053" w14:textId="77777777" w:rsidR="009D1CDF" w:rsidRPr="00507671" w:rsidRDefault="009D1CDF" w:rsidP="009D1CDF">
      <w:pPr>
        <w:spacing w:after="0"/>
        <w:jc w:val="both"/>
        <w:rPr>
          <w:rFonts w:ascii="Verdana" w:hAnsi="Verdana"/>
          <w:sz w:val="20"/>
          <w:szCs w:val="20"/>
        </w:rPr>
      </w:pPr>
    </w:p>
    <w:p w14:paraId="5482F9F3" w14:textId="77777777" w:rsidR="009D1CDF" w:rsidRPr="00860E84" w:rsidRDefault="009D1CDF" w:rsidP="00860E84">
      <w:pPr>
        <w:pStyle w:val="Prrafodelista"/>
        <w:numPr>
          <w:ilvl w:val="0"/>
          <w:numId w:val="20"/>
        </w:numPr>
        <w:spacing w:after="0"/>
        <w:ind w:left="284" w:hanging="284"/>
        <w:jc w:val="both"/>
        <w:rPr>
          <w:rFonts w:ascii="Verdana" w:hAnsi="Verdana"/>
          <w:b/>
          <w:sz w:val="20"/>
          <w:szCs w:val="20"/>
        </w:rPr>
      </w:pPr>
      <w:r w:rsidRPr="00860E84">
        <w:rPr>
          <w:rFonts w:ascii="Verdana" w:hAnsi="Verdana"/>
          <w:b/>
          <w:sz w:val="20"/>
          <w:szCs w:val="20"/>
        </w:rPr>
        <w:t>Entidades que administran recursos de terceros</w:t>
      </w:r>
    </w:p>
    <w:p w14:paraId="3FBBCB66" w14:textId="77777777" w:rsidR="009D1CDF" w:rsidRPr="00507671" w:rsidRDefault="009D1CDF" w:rsidP="009D1CDF">
      <w:pPr>
        <w:spacing w:after="0"/>
        <w:jc w:val="both"/>
        <w:rPr>
          <w:rFonts w:ascii="Verdana" w:hAnsi="Verdana"/>
          <w:sz w:val="20"/>
          <w:szCs w:val="20"/>
        </w:rPr>
      </w:pPr>
    </w:p>
    <w:p w14:paraId="0CF67A12" w14:textId="66E80606" w:rsidR="00080486" w:rsidRDefault="00080486" w:rsidP="00080486">
      <w:pPr>
        <w:spacing w:after="0"/>
        <w:jc w:val="both"/>
        <w:rPr>
          <w:rFonts w:ascii="Verdana" w:hAnsi="Verdana"/>
          <w:sz w:val="20"/>
          <w:szCs w:val="20"/>
        </w:rPr>
      </w:pPr>
      <w:r>
        <w:rPr>
          <w:rFonts w:ascii="Verdana" w:hAnsi="Verdana"/>
          <w:sz w:val="20"/>
          <w:szCs w:val="20"/>
        </w:rPr>
        <w:t>2.5.16.</w:t>
      </w:r>
    </w:p>
    <w:p w14:paraId="2276E604" w14:textId="0C68F43C" w:rsidR="009D1CDF" w:rsidRPr="00507671" w:rsidRDefault="009D1CDF" w:rsidP="009D1CDF">
      <w:pPr>
        <w:spacing w:after="0"/>
        <w:jc w:val="both"/>
        <w:rPr>
          <w:rFonts w:ascii="Verdana" w:hAnsi="Verdana"/>
          <w:sz w:val="20"/>
          <w:szCs w:val="20"/>
        </w:rPr>
      </w:pPr>
      <w:r w:rsidRPr="00507671">
        <w:rPr>
          <w:rFonts w:ascii="Verdana" w:hAnsi="Verdana"/>
          <w:sz w:val="20"/>
          <w:szCs w:val="20"/>
        </w:rPr>
        <w:t>Respecto de las subordinadas del holding que administran recursos de terceros, exceptuando a las compañías de seguros que administran recursos de terceros, el holding financiero debe efectuar el cálculo del patrimonio adecuado conforme a lo establecido en el Decreto 2555 de 2010 y las normas que lo modifiquen o sustituyan, aplicando la siguiente relación:</w:t>
      </w:r>
    </w:p>
    <w:p w14:paraId="4662F8C0" w14:textId="77777777" w:rsidR="009D1CDF" w:rsidRPr="00507671" w:rsidRDefault="009D1CDF" w:rsidP="009D1CDF">
      <w:pPr>
        <w:spacing w:after="0"/>
        <w:jc w:val="both"/>
        <w:rPr>
          <w:rFonts w:ascii="Verdana" w:hAnsi="Verdana"/>
          <w:sz w:val="20"/>
          <w:szCs w:val="20"/>
        </w:rPr>
      </w:pPr>
    </w:p>
    <w:p w14:paraId="5DEDBAA9" w14:textId="77777777" w:rsidR="009D1CDF" w:rsidRPr="00507671" w:rsidRDefault="00000000" w:rsidP="009D1CDF">
      <w:pPr>
        <w:spacing w:after="0"/>
        <w:jc w:val="both"/>
        <w:rPr>
          <w:rFonts w:ascii="Verdana" w:hAnsi="Verdana"/>
          <w:sz w:val="20"/>
          <w:szCs w:val="20"/>
        </w:rPr>
      </w:pPr>
      <m:oMathPara>
        <m:oMath>
          <m:f>
            <m:fPr>
              <m:ctrlPr>
                <w:rPr>
                  <w:rFonts w:ascii="Cambria Math" w:hAnsi="Cambria Math"/>
                  <w:i/>
                  <w:sz w:val="20"/>
                  <w:szCs w:val="20"/>
                </w:rPr>
              </m:ctrlPr>
            </m:fPr>
            <m:num>
              <m:r>
                <w:rPr>
                  <w:rFonts w:ascii="Cambria Math" w:hAnsi="Cambria Math"/>
                  <w:sz w:val="20"/>
                  <w:szCs w:val="20"/>
                </w:rPr>
                <m:t>Patrimonio técnico</m:t>
              </m:r>
            </m:num>
            <m:den>
              <m:r>
                <w:rPr>
                  <w:rFonts w:ascii="Cambria Math" w:hAnsi="Cambria Math"/>
                  <w:sz w:val="20"/>
                  <w:szCs w:val="20"/>
                </w:rPr>
                <m:t>APNR+</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100</m:t>
                      </m:r>
                    </m:num>
                    <m:den>
                      <m:r>
                        <w:rPr>
                          <w:rFonts w:ascii="Cambria Math" w:hAnsi="Cambria Math"/>
                          <w:sz w:val="20"/>
                          <w:szCs w:val="20"/>
                        </w:rPr>
                        <m:t>9</m:t>
                      </m:r>
                    </m:den>
                  </m:f>
                  <m:r>
                    <w:rPr>
                      <w:rFonts w:ascii="Cambria Math" w:hAnsi="Cambria Math"/>
                      <w:sz w:val="20"/>
                      <w:szCs w:val="20"/>
                    </w:rPr>
                    <m:t>*VeR</m:t>
                  </m:r>
                </m:e>
              </m:d>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100</m:t>
                  </m:r>
                </m:num>
                <m:den>
                  <m:r>
                    <w:rPr>
                      <w:rFonts w:ascii="Cambria Math" w:hAnsi="Cambria Math"/>
                      <w:sz w:val="20"/>
                      <w:szCs w:val="20"/>
                    </w:rPr>
                    <m:t>9</m:t>
                  </m:r>
                </m:den>
              </m:f>
              <m:r>
                <w:rPr>
                  <w:rFonts w:ascii="Cambria Math" w:hAnsi="Cambria Math"/>
                  <w:sz w:val="20"/>
                  <w:szCs w:val="20"/>
                </w:rPr>
                <m:t>*Cargo R. Operacional)</m:t>
              </m:r>
            </m:den>
          </m:f>
          <m:r>
            <w:rPr>
              <w:rFonts w:ascii="Cambria Math" w:hAnsi="Cambria Math"/>
              <w:sz w:val="20"/>
              <w:szCs w:val="20"/>
            </w:rPr>
            <m:t>≥9%</m:t>
          </m:r>
        </m:oMath>
      </m:oMathPara>
    </w:p>
    <w:p w14:paraId="041EC83B" w14:textId="77777777" w:rsidR="009D1CDF" w:rsidRPr="00507671" w:rsidRDefault="009D1CDF" w:rsidP="009D1CDF">
      <w:pPr>
        <w:spacing w:after="0"/>
        <w:jc w:val="both"/>
        <w:rPr>
          <w:rFonts w:ascii="Verdana" w:hAnsi="Verdana"/>
          <w:sz w:val="20"/>
          <w:szCs w:val="20"/>
        </w:rPr>
      </w:pPr>
    </w:p>
    <w:p w14:paraId="2BF422F3" w14:textId="6E215979" w:rsidR="009D1CDF" w:rsidRPr="00507671" w:rsidRDefault="009D1CDF" w:rsidP="009D1CDF">
      <w:pPr>
        <w:spacing w:after="0"/>
        <w:jc w:val="both"/>
        <w:rPr>
          <w:rFonts w:ascii="Verdana" w:hAnsi="Verdana"/>
          <w:sz w:val="20"/>
          <w:szCs w:val="20"/>
        </w:rPr>
      </w:pPr>
      <w:r w:rsidRPr="00507671">
        <w:rPr>
          <w:rFonts w:ascii="Verdana" w:hAnsi="Verdana"/>
          <w:sz w:val="20"/>
          <w:szCs w:val="20"/>
        </w:rPr>
        <w:t>Donde</w:t>
      </w:r>
      <w:r w:rsidR="00B9471D">
        <w:rPr>
          <w:rFonts w:ascii="Verdana" w:hAnsi="Verdana"/>
          <w:sz w:val="20"/>
          <w:szCs w:val="20"/>
        </w:rPr>
        <w:t>:</w:t>
      </w:r>
    </w:p>
    <w:p w14:paraId="4FEDA1DD" w14:textId="77777777" w:rsidR="009D1CDF" w:rsidRPr="00507671" w:rsidRDefault="009D1CDF" w:rsidP="009D1CDF">
      <w:pPr>
        <w:spacing w:after="0"/>
        <w:jc w:val="both"/>
        <w:rPr>
          <w:rFonts w:ascii="Verdana" w:hAnsi="Verdana"/>
          <w:sz w:val="20"/>
          <w:szCs w:val="20"/>
        </w:rPr>
      </w:pPr>
    </w:p>
    <w:p w14:paraId="6A67701A" w14:textId="38BEE429" w:rsidR="009D1CDF" w:rsidRPr="00507671" w:rsidRDefault="00B9471D" w:rsidP="009D1CDF">
      <w:pPr>
        <w:spacing w:after="0"/>
        <w:jc w:val="both"/>
        <w:rPr>
          <w:rFonts w:ascii="Verdana" w:hAnsi="Verdana"/>
          <w:sz w:val="20"/>
          <w:szCs w:val="20"/>
        </w:rPr>
      </w:pPr>
      <m:oMath>
        <m:r>
          <w:rPr>
            <w:rFonts w:ascii="Cambria Math" w:hAnsi="Cambria Math"/>
            <w:sz w:val="20"/>
            <w:szCs w:val="20"/>
          </w:rPr>
          <m:t>APNR:</m:t>
        </m:r>
      </m:oMath>
      <w:r w:rsidR="001E758D">
        <w:rPr>
          <w:rFonts w:ascii="Verdana" w:hAnsi="Verdana"/>
          <w:sz w:val="20"/>
          <w:szCs w:val="20"/>
        </w:rPr>
        <w:t xml:space="preserve"> a</w:t>
      </w:r>
      <w:proofErr w:type="spellStart"/>
      <w:r w:rsidR="009D1CDF" w:rsidRPr="00507671">
        <w:rPr>
          <w:rFonts w:ascii="Verdana" w:hAnsi="Verdana"/>
          <w:sz w:val="20"/>
          <w:szCs w:val="20"/>
        </w:rPr>
        <w:t>ctivos</w:t>
      </w:r>
      <w:proofErr w:type="spellEnd"/>
      <w:r w:rsidR="009D1CDF" w:rsidRPr="00507671">
        <w:rPr>
          <w:rFonts w:ascii="Verdana" w:hAnsi="Verdana"/>
          <w:sz w:val="20"/>
          <w:szCs w:val="20"/>
        </w:rPr>
        <w:t xml:space="preserve"> </w:t>
      </w:r>
      <w:r w:rsidR="004D0F0F">
        <w:rPr>
          <w:rFonts w:ascii="Verdana" w:hAnsi="Verdana"/>
          <w:sz w:val="20"/>
          <w:szCs w:val="20"/>
        </w:rPr>
        <w:t>p</w:t>
      </w:r>
      <w:r w:rsidR="009D1CDF" w:rsidRPr="00507671">
        <w:rPr>
          <w:rFonts w:ascii="Verdana" w:hAnsi="Verdana"/>
          <w:sz w:val="20"/>
          <w:szCs w:val="20"/>
        </w:rPr>
        <w:t xml:space="preserve">onderados por </w:t>
      </w:r>
      <w:r w:rsidR="004D0F0F">
        <w:rPr>
          <w:rFonts w:ascii="Verdana" w:hAnsi="Verdana"/>
          <w:sz w:val="20"/>
          <w:szCs w:val="20"/>
        </w:rPr>
        <w:t>n</w:t>
      </w:r>
      <w:r w:rsidR="009D1CDF" w:rsidRPr="00507671">
        <w:rPr>
          <w:rFonts w:ascii="Verdana" w:hAnsi="Verdana"/>
          <w:sz w:val="20"/>
          <w:szCs w:val="20"/>
        </w:rPr>
        <w:t xml:space="preserve">ivel de </w:t>
      </w:r>
      <w:r w:rsidR="004D0F0F">
        <w:rPr>
          <w:rFonts w:ascii="Verdana" w:hAnsi="Verdana"/>
          <w:sz w:val="20"/>
          <w:szCs w:val="20"/>
        </w:rPr>
        <w:t>r</w:t>
      </w:r>
      <w:r w:rsidR="009D1CDF" w:rsidRPr="00507671">
        <w:rPr>
          <w:rFonts w:ascii="Verdana" w:hAnsi="Verdana"/>
          <w:sz w:val="20"/>
          <w:szCs w:val="20"/>
        </w:rPr>
        <w:t>iesgo</w:t>
      </w:r>
    </w:p>
    <w:p w14:paraId="1D4486F7" w14:textId="70C911E4" w:rsidR="009D1CDF" w:rsidRPr="00507671" w:rsidRDefault="00D30297" w:rsidP="009D1CDF">
      <w:pPr>
        <w:spacing w:after="0"/>
        <w:jc w:val="both"/>
        <w:rPr>
          <w:rFonts w:ascii="Verdana" w:hAnsi="Verdana"/>
          <w:sz w:val="20"/>
          <w:szCs w:val="20"/>
        </w:rPr>
      </w:pPr>
      <m:oMath>
        <m:r>
          <w:rPr>
            <w:rFonts w:ascii="Cambria Math" w:hAnsi="Cambria Math"/>
            <w:sz w:val="20"/>
            <w:szCs w:val="20"/>
          </w:rPr>
          <m:t>VeR:</m:t>
        </m:r>
      </m:oMath>
      <w:r w:rsidR="001E758D">
        <w:rPr>
          <w:rFonts w:ascii="Verdana" w:eastAsiaTheme="minorEastAsia" w:hAnsi="Verdana"/>
          <w:sz w:val="20"/>
          <w:szCs w:val="20"/>
        </w:rPr>
        <w:t xml:space="preserve"> v</w:t>
      </w:r>
      <w:proofErr w:type="spellStart"/>
      <w:r w:rsidR="009D1CDF" w:rsidRPr="00507671">
        <w:rPr>
          <w:rFonts w:ascii="Verdana" w:hAnsi="Verdana"/>
          <w:sz w:val="20"/>
          <w:szCs w:val="20"/>
        </w:rPr>
        <w:t>alor</w:t>
      </w:r>
      <w:proofErr w:type="spellEnd"/>
      <w:r w:rsidR="009D1CDF" w:rsidRPr="00507671">
        <w:rPr>
          <w:rFonts w:ascii="Verdana" w:hAnsi="Verdana"/>
          <w:sz w:val="20"/>
          <w:szCs w:val="20"/>
        </w:rPr>
        <w:t xml:space="preserve"> en </w:t>
      </w:r>
      <w:r w:rsidR="00F65AE9">
        <w:rPr>
          <w:rFonts w:ascii="Verdana" w:hAnsi="Verdana"/>
          <w:sz w:val="20"/>
          <w:szCs w:val="20"/>
        </w:rPr>
        <w:t>r</w:t>
      </w:r>
      <w:r w:rsidR="009D1CDF" w:rsidRPr="00507671">
        <w:rPr>
          <w:rFonts w:ascii="Verdana" w:hAnsi="Verdana"/>
          <w:sz w:val="20"/>
          <w:szCs w:val="20"/>
        </w:rPr>
        <w:t xml:space="preserve">iesgo de </w:t>
      </w:r>
      <w:r w:rsidR="00F65AE9">
        <w:rPr>
          <w:rFonts w:ascii="Verdana" w:hAnsi="Verdana"/>
          <w:sz w:val="20"/>
          <w:szCs w:val="20"/>
        </w:rPr>
        <w:t>m</w:t>
      </w:r>
      <w:r w:rsidR="009D1CDF" w:rsidRPr="00507671">
        <w:rPr>
          <w:rFonts w:ascii="Verdana" w:hAnsi="Verdana"/>
          <w:sz w:val="20"/>
          <w:szCs w:val="20"/>
        </w:rPr>
        <w:t>ercado</w:t>
      </w:r>
    </w:p>
    <w:p w14:paraId="68FA6C52" w14:textId="32FED1F9" w:rsidR="009D1CDF" w:rsidRPr="00507671" w:rsidRDefault="00B9471D" w:rsidP="009D1CDF">
      <w:pPr>
        <w:spacing w:after="0"/>
        <w:jc w:val="both"/>
        <w:rPr>
          <w:rFonts w:ascii="Verdana" w:hAnsi="Verdana"/>
          <w:sz w:val="20"/>
          <w:szCs w:val="20"/>
        </w:rPr>
      </w:pPr>
      <m:oMath>
        <m:r>
          <w:rPr>
            <w:rFonts w:ascii="Cambria Math" w:hAnsi="Cambria Math"/>
            <w:sz w:val="20"/>
            <w:szCs w:val="20"/>
          </w:rPr>
          <m:t>Cargo R. Operacional:</m:t>
        </m:r>
      </m:oMath>
      <w:r w:rsidR="009D1CDF" w:rsidRPr="00507671">
        <w:rPr>
          <w:rFonts w:ascii="Verdana" w:hAnsi="Verdana"/>
          <w:sz w:val="20"/>
          <w:szCs w:val="20"/>
        </w:rPr>
        <w:t xml:space="preserve"> </w:t>
      </w:r>
      <w:r w:rsidR="001E758D">
        <w:rPr>
          <w:rFonts w:ascii="Verdana" w:hAnsi="Verdana"/>
          <w:sz w:val="20"/>
          <w:szCs w:val="20"/>
        </w:rPr>
        <w:t>c</w:t>
      </w:r>
      <w:r w:rsidR="00D30297">
        <w:rPr>
          <w:rFonts w:ascii="Verdana" w:hAnsi="Verdana"/>
          <w:sz w:val="20"/>
          <w:szCs w:val="20"/>
        </w:rPr>
        <w:t>a</w:t>
      </w:r>
      <w:r w:rsidR="009D1CDF" w:rsidRPr="00507671">
        <w:rPr>
          <w:rFonts w:ascii="Verdana" w:hAnsi="Verdana"/>
          <w:sz w:val="20"/>
          <w:szCs w:val="20"/>
        </w:rPr>
        <w:t xml:space="preserve">rgo por exposición al </w:t>
      </w:r>
      <w:r w:rsidR="00F65AE9">
        <w:rPr>
          <w:rFonts w:ascii="Verdana" w:hAnsi="Verdana"/>
          <w:sz w:val="20"/>
          <w:szCs w:val="20"/>
        </w:rPr>
        <w:t>r</w:t>
      </w:r>
      <w:r w:rsidR="009D1CDF" w:rsidRPr="00507671">
        <w:rPr>
          <w:rFonts w:ascii="Verdana" w:hAnsi="Verdana"/>
          <w:sz w:val="20"/>
          <w:szCs w:val="20"/>
        </w:rPr>
        <w:t xml:space="preserve">iesgo </w:t>
      </w:r>
      <w:r w:rsidR="00F65AE9">
        <w:rPr>
          <w:rFonts w:ascii="Verdana" w:hAnsi="Verdana"/>
          <w:sz w:val="20"/>
          <w:szCs w:val="20"/>
        </w:rPr>
        <w:t>o</w:t>
      </w:r>
      <w:r w:rsidR="009D1CDF" w:rsidRPr="00507671">
        <w:rPr>
          <w:rFonts w:ascii="Verdana" w:hAnsi="Verdana"/>
          <w:sz w:val="20"/>
          <w:szCs w:val="20"/>
        </w:rPr>
        <w:t>peracional</w:t>
      </w:r>
    </w:p>
    <w:p w14:paraId="345AF536" w14:textId="77777777" w:rsidR="00B11FFD" w:rsidRDefault="00B11FFD" w:rsidP="00080486">
      <w:pPr>
        <w:spacing w:after="0"/>
        <w:jc w:val="both"/>
        <w:rPr>
          <w:rFonts w:ascii="Verdana" w:hAnsi="Verdana"/>
          <w:sz w:val="20"/>
          <w:szCs w:val="20"/>
        </w:rPr>
      </w:pPr>
    </w:p>
    <w:p w14:paraId="6E3C0D69" w14:textId="774BDC9A" w:rsidR="00080486" w:rsidRDefault="00080486" w:rsidP="00080486">
      <w:pPr>
        <w:spacing w:after="0"/>
        <w:jc w:val="both"/>
        <w:rPr>
          <w:rFonts w:ascii="Verdana" w:hAnsi="Verdana"/>
          <w:sz w:val="20"/>
          <w:szCs w:val="20"/>
        </w:rPr>
      </w:pPr>
      <w:r>
        <w:rPr>
          <w:rFonts w:ascii="Verdana" w:hAnsi="Verdana"/>
          <w:sz w:val="20"/>
          <w:szCs w:val="20"/>
        </w:rPr>
        <w:t>2.5.17.</w:t>
      </w:r>
    </w:p>
    <w:p w14:paraId="7145526A" w14:textId="65D55856" w:rsidR="00673160" w:rsidRDefault="009D1CDF" w:rsidP="009D1CDF">
      <w:pPr>
        <w:spacing w:after="0"/>
        <w:jc w:val="both"/>
        <w:rPr>
          <w:rFonts w:ascii="Verdana" w:hAnsi="Verdana"/>
          <w:sz w:val="20"/>
          <w:szCs w:val="20"/>
        </w:rPr>
      </w:pPr>
      <w:r w:rsidRPr="00507671">
        <w:rPr>
          <w:rFonts w:ascii="Verdana" w:hAnsi="Verdana"/>
          <w:sz w:val="20"/>
          <w:szCs w:val="20"/>
        </w:rPr>
        <w:t>Para el caso de las subordinadas del exterior que administran recursos de terceros y se encuentran autorizadas en su jurisdicción para realizar la actividad de custodia de valores, tal como opera en Colombia conforme al Libro 37 de la Parte 2 del Decreto 2555 de 2010, la relación de solvencia se debe definir como el valor del patrimonio técnico, dividido entre el mayor valor de los dos siguientes:</w:t>
      </w:r>
    </w:p>
    <w:p w14:paraId="091294E7" w14:textId="77777777" w:rsidR="00673160" w:rsidRDefault="00673160" w:rsidP="009D1CDF">
      <w:pPr>
        <w:spacing w:after="0"/>
        <w:jc w:val="both"/>
        <w:rPr>
          <w:rFonts w:ascii="Verdana" w:hAnsi="Verdana"/>
          <w:sz w:val="20"/>
          <w:szCs w:val="20"/>
        </w:rPr>
      </w:pPr>
    </w:p>
    <w:p w14:paraId="1F6F9E1D" w14:textId="77777777" w:rsidR="00CF3006" w:rsidRDefault="009D1CDF" w:rsidP="00673160">
      <w:pPr>
        <w:pStyle w:val="Prrafodelista"/>
        <w:numPr>
          <w:ilvl w:val="0"/>
          <w:numId w:val="24"/>
        </w:numPr>
        <w:spacing w:after="0"/>
        <w:ind w:left="567" w:hanging="567"/>
        <w:jc w:val="both"/>
        <w:rPr>
          <w:rFonts w:ascii="Verdana" w:hAnsi="Verdana"/>
          <w:sz w:val="20"/>
          <w:szCs w:val="20"/>
        </w:rPr>
      </w:pPr>
      <w:r w:rsidRPr="00673160">
        <w:rPr>
          <w:rFonts w:ascii="Verdana" w:hAnsi="Verdana"/>
          <w:sz w:val="20"/>
          <w:szCs w:val="20"/>
        </w:rPr>
        <w:t>La sumatoria de los activos ponderados por nivel de riesgo, del valor de riesgo de mercado y el valor de exposición al riesgo operacional</w:t>
      </w:r>
      <w:r w:rsidR="00CF3006">
        <w:rPr>
          <w:rFonts w:ascii="Verdana" w:hAnsi="Verdana"/>
          <w:sz w:val="20"/>
          <w:szCs w:val="20"/>
        </w:rPr>
        <w:t>.</w:t>
      </w:r>
    </w:p>
    <w:p w14:paraId="0B192494" w14:textId="77777777" w:rsidR="00CF3006" w:rsidRDefault="00CF3006" w:rsidP="00CF3006">
      <w:pPr>
        <w:pStyle w:val="Prrafodelista"/>
        <w:spacing w:after="0"/>
        <w:ind w:left="567"/>
        <w:jc w:val="both"/>
        <w:rPr>
          <w:rFonts w:ascii="Verdana" w:hAnsi="Verdana"/>
          <w:sz w:val="20"/>
          <w:szCs w:val="20"/>
        </w:rPr>
      </w:pPr>
    </w:p>
    <w:p w14:paraId="222360E6" w14:textId="11EEA413" w:rsidR="009D1CDF" w:rsidRPr="00673160" w:rsidRDefault="00CF3006" w:rsidP="00673160">
      <w:pPr>
        <w:pStyle w:val="Prrafodelista"/>
        <w:numPr>
          <w:ilvl w:val="0"/>
          <w:numId w:val="24"/>
        </w:numPr>
        <w:spacing w:after="0"/>
        <w:ind w:left="567" w:hanging="567"/>
        <w:jc w:val="both"/>
        <w:rPr>
          <w:rFonts w:ascii="Verdana" w:hAnsi="Verdana"/>
          <w:sz w:val="20"/>
          <w:szCs w:val="20"/>
        </w:rPr>
      </w:pPr>
      <w:r>
        <w:rPr>
          <w:rFonts w:ascii="Verdana" w:hAnsi="Verdana"/>
          <w:sz w:val="20"/>
          <w:szCs w:val="20"/>
        </w:rPr>
        <w:t>C</w:t>
      </w:r>
      <w:r w:rsidR="009D1CDF" w:rsidRPr="00673160">
        <w:rPr>
          <w:rFonts w:ascii="Verdana" w:hAnsi="Verdana"/>
          <w:sz w:val="20"/>
          <w:szCs w:val="20"/>
        </w:rPr>
        <w:t>ien novenos (100/9) de 6.154.320 dólares de los Estados Unidos de América a partir del 1 de enero de 2019, cifra que será actualizada anualmente en forma automática en el mismo porcentaje de variación anual del Índice de Precios al Consumidor (IPC) que suministre el Departamento Administrativo Nacional de Estadística (DANE) en Colombia.</w:t>
      </w:r>
    </w:p>
    <w:p w14:paraId="42492E06" w14:textId="77777777" w:rsidR="009D1CDF" w:rsidRPr="00507671" w:rsidRDefault="009D1CDF" w:rsidP="009D1CDF">
      <w:pPr>
        <w:spacing w:after="0"/>
        <w:jc w:val="both"/>
        <w:rPr>
          <w:rFonts w:ascii="Verdana" w:hAnsi="Verdana"/>
          <w:sz w:val="20"/>
          <w:szCs w:val="20"/>
        </w:rPr>
      </w:pPr>
    </w:p>
    <w:p w14:paraId="1F55EE88" w14:textId="7CB4CDA2" w:rsidR="00080486" w:rsidRDefault="00080486" w:rsidP="00080486">
      <w:pPr>
        <w:spacing w:after="0"/>
        <w:jc w:val="both"/>
        <w:rPr>
          <w:rFonts w:ascii="Verdana" w:hAnsi="Verdana"/>
          <w:sz w:val="20"/>
          <w:szCs w:val="20"/>
        </w:rPr>
      </w:pPr>
      <w:r>
        <w:rPr>
          <w:rFonts w:ascii="Verdana" w:hAnsi="Verdana"/>
          <w:sz w:val="20"/>
          <w:szCs w:val="20"/>
        </w:rPr>
        <w:t>2.5.18.</w:t>
      </w:r>
    </w:p>
    <w:p w14:paraId="0C776730"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El cálculo del patrimonio adecuado se debe realizar de acuerdo con las normas establecidas en el Decreto 2555 de 2010, dependiendo de la actividad que desarrolle cada entidad. A continuación, se cita la información correspondiente:</w:t>
      </w:r>
    </w:p>
    <w:p w14:paraId="5BBE4918" w14:textId="77777777" w:rsidR="009D1CDF" w:rsidRPr="00507671" w:rsidRDefault="009D1CDF" w:rsidP="009D1CDF">
      <w:pPr>
        <w:spacing w:after="0"/>
        <w:jc w:val="both"/>
        <w:rPr>
          <w:rFonts w:ascii="Verdana" w:hAnsi="Verdana"/>
          <w:b/>
          <w:sz w:val="20"/>
          <w:szCs w:val="20"/>
        </w:rPr>
      </w:pPr>
    </w:p>
    <w:tbl>
      <w:tblPr>
        <w:tblStyle w:val="Tablaconcuadrcula"/>
        <w:tblW w:w="0" w:type="auto"/>
        <w:jc w:val="center"/>
        <w:tblLook w:val="04A0" w:firstRow="1" w:lastRow="0" w:firstColumn="1" w:lastColumn="0" w:noHBand="0" w:noVBand="1"/>
      </w:tblPr>
      <w:tblGrid>
        <w:gridCol w:w="6374"/>
        <w:gridCol w:w="2239"/>
      </w:tblGrid>
      <w:tr w:rsidR="009D1CDF" w:rsidRPr="00507671" w14:paraId="791118B7" w14:textId="77777777" w:rsidTr="00B11FFD">
        <w:trPr>
          <w:tblHeader/>
          <w:jc w:val="center"/>
        </w:trPr>
        <w:tc>
          <w:tcPr>
            <w:tcW w:w="6374"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2E070173" w14:textId="77777777" w:rsidR="009D1CDF" w:rsidRPr="00860E84" w:rsidRDefault="009D1CDF" w:rsidP="00860E84">
            <w:pPr>
              <w:spacing w:line="259" w:lineRule="auto"/>
              <w:jc w:val="center"/>
              <w:rPr>
                <w:rFonts w:ascii="Verdana" w:hAnsi="Verdana"/>
                <w:b/>
                <w:sz w:val="16"/>
                <w:szCs w:val="16"/>
              </w:rPr>
            </w:pPr>
            <w:r w:rsidRPr="00860E84">
              <w:rPr>
                <w:rFonts w:ascii="Verdana" w:hAnsi="Verdana"/>
                <w:b/>
                <w:sz w:val="16"/>
                <w:szCs w:val="16"/>
              </w:rPr>
              <w:lastRenderedPageBreak/>
              <w:t>Actividad</w:t>
            </w:r>
          </w:p>
        </w:tc>
        <w:tc>
          <w:tcPr>
            <w:tcW w:w="2239"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5DCF698C" w14:textId="77777777" w:rsidR="009D1CDF" w:rsidRPr="00860E84" w:rsidRDefault="009D1CDF" w:rsidP="00860E84">
            <w:pPr>
              <w:spacing w:line="259" w:lineRule="auto"/>
              <w:jc w:val="center"/>
              <w:rPr>
                <w:rFonts w:ascii="Verdana" w:hAnsi="Verdana"/>
                <w:b/>
                <w:sz w:val="16"/>
                <w:szCs w:val="16"/>
              </w:rPr>
            </w:pPr>
            <w:r w:rsidRPr="00860E84">
              <w:rPr>
                <w:rFonts w:ascii="Verdana" w:hAnsi="Verdana"/>
                <w:b/>
                <w:sz w:val="16"/>
                <w:szCs w:val="16"/>
              </w:rPr>
              <w:t>Entidad</w:t>
            </w:r>
          </w:p>
        </w:tc>
      </w:tr>
      <w:tr w:rsidR="009D1CDF" w:rsidRPr="00507671" w14:paraId="7E88A80A" w14:textId="77777777">
        <w:trPr>
          <w:jc w:val="center"/>
        </w:trPr>
        <w:tc>
          <w:tcPr>
            <w:tcW w:w="6374" w:type="dxa"/>
            <w:tcBorders>
              <w:top w:val="single" w:sz="4" w:space="0" w:color="auto"/>
              <w:left w:val="single" w:sz="4" w:space="0" w:color="auto"/>
              <w:bottom w:val="single" w:sz="4" w:space="0" w:color="auto"/>
              <w:right w:val="single" w:sz="4" w:space="0" w:color="auto"/>
            </w:tcBorders>
            <w:vAlign w:val="center"/>
            <w:hideMark/>
          </w:tcPr>
          <w:p w14:paraId="1FEE2429"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Administración de fondos de pensiones obligatorias y cesantías</w:t>
            </w:r>
          </w:p>
        </w:tc>
        <w:tc>
          <w:tcPr>
            <w:tcW w:w="2239" w:type="dxa"/>
            <w:tcBorders>
              <w:top w:val="single" w:sz="4" w:space="0" w:color="auto"/>
              <w:left w:val="single" w:sz="4" w:space="0" w:color="auto"/>
              <w:bottom w:val="single" w:sz="4" w:space="0" w:color="auto"/>
              <w:right w:val="single" w:sz="4" w:space="0" w:color="auto"/>
            </w:tcBorders>
            <w:vAlign w:val="center"/>
            <w:hideMark/>
          </w:tcPr>
          <w:p w14:paraId="0DEE0028"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SAFP</w:t>
            </w:r>
          </w:p>
        </w:tc>
      </w:tr>
      <w:tr w:rsidR="009D1CDF" w:rsidRPr="00507671" w14:paraId="32ED7A8B" w14:textId="77777777">
        <w:trPr>
          <w:jc w:val="center"/>
        </w:trPr>
        <w:tc>
          <w:tcPr>
            <w:tcW w:w="6374" w:type="dxa"/>
            <w:tcBorders>
              <w:top w:val="single" w:sz="4" w:space="0" w:color="auto"/>
              <w:left w:val="single" w:sz="4" w:space="0" w:color="auto"/>
              <w:bottom w:val="single" w:sz="4" w:space="0" w:color="auto"/>
              <w:right w:val="single" w:sz="4" w:space="0" w:color="auto"/>
            </w:tcBorders>
            <w:vAlign w:val="center"/>
            <w:hideMark/>
          </w:tcPr>
          <w:p w14:paraId="5BA37999"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Fiducia de inversión y encargos fiduciarios sobre valores</w:t>
            </w:r>
          </w:p>
        </w:tc>
        <w:tc>
          <w:tcPr>
            <w:tcW w:w="2239" w:type="dxa"/>
            <w:tcBorders>
              <w:top w:val="single" w:sz="4" w:space="0" w:color="auto"/>
              <w:left w:val="single" w:sz="4" w:space="0" w:color="auto"/>
              <w:bottom w:val="single" w:sz="4" w:space="0" w:color="auto"/>
              <w:right w:val="single" w:sz="4" w:space="0" w:color="auto"/>
            </w:tcBorders>
            <w:vAlign w:val="center"/>
            <w:hideMark/>
          </w:tcPr>
          <w:p w14:paraId="297CC710"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SF</w:t>
            </w:r>
          </w:p>
        </w:tc>
      </w:tr>
      <w:tr w:rsidR="009D1CDF" w:rsidRPr="00507671" w14:paraId="3FB10D44" w14:textId="77777777">
        <w:trPr>
          <w:trHeight w:val="281"/>
          <w:jc w:val="center"/>
        </w:trPr>
        <w:tc>
          <w:tcPr>
            <w:tcW w:w="6374" w:type="dxa"/>
            <w:tcBorders>
              <w:top w:val="single" w:sz="4" w:space="0" w:color="auto"/>
              <w:left w:val="single" w:sz="4" w:space="0" w:color="auto"/>
              <w:bottom w:val="single" w:sz="4" w:space="0" w:color="auto"/>
              <w:right w:val="single" w:sz="4" w:space="0" w:color="auto"/>
            </w:tcBorders>
            <w:vAlign w:val="center"/>
            <w:hideMark/>
          </w:tcPr>
          <w:p w14:paraId="5B82F625"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Contratos de fiducia y encargos fiduciarios sobre activos distintos a valores</w:t>
            </w:r>
          </w:p>
        </w:tc>
        <w:tc>
          <w:tcPr>
            <w:tcW w:w="2239" w:type="dxa"/>
            <w:tcBorders>
              <w:top w:val="single" w:sz="4" w:space="0" w:color="auto"/>
              <w:left w:val="single" w:sz="4" w:space="0" w:color="auto"/>
              <w:bottom w:val="single" w:sz="4" w:space="0" w:color="auto"/>
              <w:right w:val="single" w:sz="4" w:space="0" w:color="auto"/>
            </w:tcBorders>
            <w:vAlign w:val="center"/>
            <w:hideMark/>
          </w:tcPr>
          <w:p w14:paraId="4A29C681"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SF</w:t>
            </w:r>
          </w:p>
        </w:tc>
      </w:tr>
      <w:tr w:rsidR="009D1CDF" w:rsidRPr="00507671" w14:paraId="6402E158" w14:textId="77777777">
        <w:trPr>
          <w:jc w:val="center"/>
        </w:trPr>
        <w:tc>
          <w:tcPr>
            <w:tcW w:w="6374" w:type="dxa"/>
            <w:tcBorders>
              <w:top w:val="single" w:sz="4" w:space="0" w:color="auto"/>
              <w:left w:val="single" w:sz="4" w:space="0" w:color="auto"/>
              <w:bottom w:val="single" w:sz="4" w:space="0" w:color="auto"/>
              <w:right w:val="single" w:sz="4" w:space="0" w:color="auto"/>
            </w:tcBorders>
            <w:vAlign w:val="center"/>
            <w:hideMark/>
          </w:tcPr>
          <w:p w14:paraId="0656D1B5"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Custodia de valores</w:t>
            </w:r>
          </w:p>
        </w:tc>
        <w:tc>
          <w:tcPr>
            <w:tcW w:w="2239" w:type="dxa"/>
            <w:tcBorders>
              <w:top w:val="single" w:sz="4" w:space="0" w:color="auto"/>
              <w:left w:val="single" w:sz="4" w:space="0" w:color="auto"/>
              <w:bottom w:val="single" w:sz="4" w:space="0" w:color="auto"/>
              <w:right w:val="single" w:sz="4" w:space="0" w:color="auto"/>
            </w:tcBorders>
            <w:vAlign w:val="center"/>
            <w:hideMark/>
          </w:tcPr>
          <w:p w14:paraId="4BB7C4BA"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SF</w:t>
            </w:r>
          </w:p>
        </w:tc>
      </w:tr>
      <w:tr w:rsidR="009D1CDF" w:rsidRPr="00507671" w14:paraId="1A427602" w14:textId="77777777">
        <w:trPr>
          <w:jc w:val="center"/>
        </w:trPr>
        <w:tc>
          <w:tcPr>
            <w:tcW w:w="6374" w:type="dxa"/>
            <w:tcBorders>
              <w:top w:val="single" w:sz="4" w:space="0" w:color="auto"/>
              <w:left w:val="single" w:sz="4" w:space="0" w:color="auto"/>
              <w:bottom w:val="single" w:sz="4" w:space="0" w:color="auto"/>
              <w:right w:val="single" w:sz="4" w:space="0" w:color="auto"/>
            </w:tcBorders>
            <w:vAlign w:val="center"/>
            <w:hideMark/>
          </w:tcPr>
          <w:p w14:paraId="5D8BDBA3"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Administración de valores y administración de portafolios de terceros</w:t>
            </w:r>
          </w:p>
        </w:tc>
        <w:tc>
          <w:tcPr>
            <w:tcW w:w="2239" w:type="dxa"/>
            <w:tcBorders>
              <w:top w:val="single" w:sz="4" w:space="0" w:color="auto"/>
              <w:left w:val="single" w:sz="4" w:space="0" w:color="auto"/>
              <w:bottom w:val="single" w:sz="4" w:space="0" w:color="auto"/>
              <w:right w:val="single" w:sz="4" w:space="0" w:color="auto"/>
            </w:tcBorders>
            <w:vAlign w:val="center"/>
            <w:hideMark/>
          </w:tcPr>
          <w:p w14:paraId="5975E0EB"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SCB</w:t>
            </w:r>
          </w:p>
        </w:tc>
      </w:tr>
      <w:tr w:rsidR="009D1CDF" w:rsidRPr="00507671" w14:paraId="6C81AEA2" w14:textId="77777777">
        <w:trPr>
          <w:jc w:val="center"/>
        </w:trPr>
        <w:tc>
          <w:tcPr>
            <w:tcW w:w="6374" w:type="dxa"/>
            <w:tcBorders>
              <w:top w:val="single" w:sz="4" w:space="0" w:color="auto"/>
              <w:left w:val="single" w:sz="4" w:space="0" w:color="auto"/>
              <w:bottom w:val="single" w:sz="4" w:space="0" w:color="auto"/>
              <w:right w:val="single" w:sz="4" w:space="0" w:color="auto"/>
            </w:tcBorders>
            <w:vAlign w:val="center"/>
            <w:hideMark/>
          </w:tcPr>
          <w:p w14:paraId="02B5EE04"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Contrato de Comisión, colocación de títulos y asesoría</w:t>
            </w:r>
          </w:p>
        </w:tc>
        <w:tc>
          <w:tcPr>
            <w:tcW w:w="2239" w:type="dxa"/>
            <w:tcBorders>
              <w:top w:val="single" w:sz="4" w:space="0" w:color="auto"/>
              <w:left w:val="single" w:sz="4" w:space="0" w:color="auto"/>
              <w:bottom w:val="single" w:sz="4" w:space="0" w:color="auto"/>
              <w:right w:val="single" w:sz="4" w:space="0" w:color="auto"/>
            </w:tcBorders>
            <w:vAlign w:val="center"/>
            <w:hideMark/>
          </w:tcPr>
          <w:p w14:paraId="1878C747"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SCB</w:t>
            </w:r>
          </w:p>
        </w:tc>
      </w:tr>
      <w:tr w:rsidR="009D1CDF" w:rsidRPr="00507671" w14:paraId="1500BC95" w14:textId="77777777">
        <w:trPr>
          <w:jc w:val="center"/>
        </w:trPr>
        <w:tc>
          <w:tcPr>
            <w:tcW w:w="6374" w:type="dxa"/>
            <w:tcBorders>
              <w:top w:val="single" w:sz="4" w:space="0" w:color="auto"/>
              <w:left w:val="single" w:sz="4" w:space="0" w:color="auto"/>
              <w:bottom w:val="single" w:sz="4" w:space="0" w:color="auto"/>
              <w:right w:val="single" w:sz="4" w:space="0" w:color="auto"/>
            </w:tcBorders>
            <w:vAlign w:val="center"/>
            <w:hideMark/>
          </w:tcPr>
          <w:p w14:paraId="46156467"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Administración de fondos de inversión colectiva</w:t>
            </w:r>
          </w:p>
        </w:tc>
        <w:tc>
          <w:tcPr>
            <w:tcW w:w="2239" w:type="dxa"/>
            <w:tcBorders>
              <w:top w:val="single" w:sz="4" w:space="0" w:color="auto"/>
              <w:left w:val="single" w:sz="4" w:space="0" w:color="auto"/>
              <w:bottom w:val="single" w:sz="4" w:space="0" w:color="auto"/>
              <w:right w:val="single" w:sz="4" w:space="0" w:color="auto"/>
            </w:tcBorders>
            <w:vAlign w:val="center"/>
            <w:hideMark/>
          </w:tcPr>
          <w:p w14:paraId="3DB99E75"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SF, SCB, SAI</w:t>
            </w:r>
          </w:p>
        </w:tc>
      </w:tr>
      <w:tr w:rsidR="009D1CDF" w:rsidRPr="00507671" w14:paraId="1670B57D" w14:textId="77777777">
        <w:trPr>
          <w:jc w:val="center"/>
        </w:trPr>
        <w:tc>
          <w:tcPr>
            <w:tcW w:w="6374" w:type="dxa"/>
            <w:tcBorders>
              <w:top w:val="single" w:sz="4" w:space="0" w:color="auto"/>
              <w:left w:val="single" w:sz="4" w:space="0" w:color="auto"/>
              <w:bottom w:val="single" w:sz="4" w:space="0" w:color="auto"/>
              <w:right w:val="single" w:sz="4" w:space="0" w:color="auto"/>
            </w:tcBorders>
            <w:vAlign w:val="center"/>
            <w:hideMark/>
          </w:tcPr>
          <w:p w14:paraId="584F5DF2"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Administración de fondos de pensiones voluntarias y pasivos pensionales</w:t>
            </w:r>
          </w:p>
        </w:tc>
        <w:tc>
          <w:tcPr>
            <w:tcW w:w="2239" w:type="dxa"/>
            <w:tcBorders>
              <w:top w:val="single" w:sz="4" w:space="0" w:color="auto"/>
              <w:left w:val="single" w:sz="4" w:space="0" w:color="auto"/>
              <w:bottom w:val="single" w:sz="4" w:space="0" w:color="auto"/>
              <w:right w:val="single" w:sz="4" w:space="0" w:color="auto"/>
            </w:tcBorders>
            <w:vAlign w:val="center"/>
            <w:hideMark/>
          </w:tcPr>
          <w:p w14:paraId="77D3E121"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SAFP, SF, Aseguradoras</w:t>
            </w:r>
          </w:p>
        </w:tc>
      </w:tr>
    </w:tbl>
    <w:p w14:paraId="7CEF31AE" w14:textId="77777777" w:rsidR="009D1CDF" w:rsidRPr="00507671" w:rsidRDefault="009D1CDF" w:rsidP="009D1CDF">
      <w:pPr>
        <w:spacing w:after="0"/>
        <w:jc w:val="both"/>
        <w:rPr>
          <w:rFonts w:ascii="Verdana" w:hAnsi="Verdana"/>
          <w:b/>
          <w:sz w:val="20"/>
          <w:szCs w:val="20"/>
        </w:rPr>
      </w:pPr>
    </w:p>
    <w:tbl>
      <w:tblPr>
        <w:tblStyle w:val="Tablaconcuadrcula"/>
        <w:tblW w:w="0" w:type="auto"/>
        <w:jc w:val="center"/>
        <w:tblLook w:val="04A0" w:firstRow="1" w:lastRow="0" w:firstColumn="1" w:lastColumn="0" w:noHBand="0" w:noVBand="1"/>
      </w:tblPr>
      <w:tblGrid>
        <w:gridCol w:w="6423"/>
        <w:gridCol w:w="2098"/>
      </w:tblGrid>
      <w:tr w:rsidR="009D1CDF" w:rsidRPr="00507671" w14:paraId="0F88C7B8" w14:textId="77777777" w:rsidTr="00860E84">
        <w:trPr>
          <w:jc w:val="center"/>
        </w:trPr>
        <w:tc>
          <w:tcPr>
            <w:tcW w:w="6423"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7F51E608" w14:textId="77777777" w:rsidR="009D1CDF" w:rsidRPr="00860E84" w:rsidRDefault="009D1CDF" w:rsidP="00860E84">
            <w:pPr>
              <w:spacing w:line="259" w:lineRule="auto"/>
              <w:jc w:val="center"/>
              <w:rPr>
                <w:rFonts w:ascii="Verdana" w:hAnsi="Verdana"/>
                <w:b/>
                <w:sz w:val="16"/>
                <w:szCs w:val="16"/>
              </w:rPr>
            </w:pPr>
            <w:r w:rsidRPr="00860E84">
              <w:rPr>
                <w:rFonts w:ascii="Verdana" w:hAnsi="Verdana"/>
                <w:b/>
                <w:sz w:val="16"/>
                <w:szCs w:val="16"/>
              </w:rPr>
              <w:t>Entidad</w:t>
            </w:r>
          </w:p>
        </w:tc>
        <w:tc>
          <w:tcPr>
            <w:tcW w:w="2098"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03F2AAA2" w14:textId="77777777" w:rsidR="009D1CDF" w:rsidRPr="00860E84" w:rsidRDefault="009D1CDF" w:rsidP="00860E84">
            <w:pPr>
              <w:spacing w:line="259" w:lineRule="auto"/>
              <w:jc w:val="center"/>
              <w:rPr>
                <w:rFonts w:ascii="Verdana" w:hAnsi="Verdana"/>
                <w:b/>
                <w:sz w:val="16"/>
                <w:szCs w:val="16"/>
              </w:rPr>
            </w:pPr>
            <w:r w:rsidRPr="00860E84">
              <w:rPr>
                <w:rFonts w:ascii="Verdana" w:hAnsi="Verdana"/>
                <w:b/>
                <w:sz w:val="16"/>
                <w:szCs w:val="16"/>
              </w:rPr>
              <w:t>Decreto 2555 de 2010</w:t>
            </w:r>
          </w:p>
        </w:tc>
      </w:tr>
      <w:tr w:rsidR="009D1CDF" w:rsidRPr="00507671" w14:paraId="15862810" w14:textId="77777777">
        <w:trPr>
          <w:jc w:val="center"/>
        </w:trPr>
        <w:tc>
          <w:tcPr>
            <w:tcW w:w="6423" w:type="dxa"/>
            <w:tcBorders>
              <w:top w:val="single" w:sz="4" w:space="0" w:color="auto"/>
              <w:left w:val="single" w:sz="4" w:space="0" w:color="auto"/>
              <w:bottom w:val="single" w:sz="4" w:space="0" w:color="auto"/>
              <w:right w:val="single" w:sz="4" w:space="0" w:color="auto"/>
            </w:tcBorders>
            <w:hideMark/>
          </w:tcPr>
          <w:p w14:paraId="0D62A089"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SAFP: Administradora de Fondos de Pensiones</w:t>
            </w:r>
          </w:p>
        </w:tc>
        <w:tc>
          <w:tcPr>
            <w:tcW w:w="2098" w:type="dxa"/>
            <w:tcBorders>
              <w:top w:val="single" w:sz="4" w:space="0" w:color="auto"/>
              <w:left w:val="single" w:sz="4" w:space="0" w:color="auto"/>
              <w:bottom w:val="single" w:sz="4" w:space="0" w:color="auto"/>
              <w:right w:val="single" w:sz="4" w:space="0" w:color="auto"/>
            </w:tcBorders>
            <w:hideMark/>
          </w:tcPr>
          <w:p w14:paraId="1BB54E36"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artículo 2.6.1.1.2</w:t>
            </w:r>
          </w:p>
        </w:tc>
      </w:tr>
      <w:tr w:rsidR="009D1CDF" w:rsidRPr="00507671" w14:paraId="2527C3EE" w14:textId="77777777">
        <w:trPr>
          <w:jc w:val="center"/>
        </w:trPr>
        <w:tc>
          <w:tcPr>
            <w:tcW w:w="6423" w:type="dxa"/>
            <w:tcBorders>
              <w:top w:val="single" w:sz="4" w:space="0" w:color="auto"/>
              <w:left w:val="single" w:sz="4" w:space="0" w:color="auto"/>
              <w:bottom w:val="single" w:sz="4" w:space="0" w:color="auto"/>
              <w:right w:val="single" w:sz="4" w:space="0" w:color="auto"/>
            </w:tcBorders>
            <w:hideMark/>
          </w:tcPr>
          <w:p w14:paraId="56BBBB5D"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SCB: Comisionista de Bolsa</w:t>
            </w:r>
          </w:p>
        </w:tc>
        <w:tc>
          <w:tcPr>
            <w:tcW w:w="2098" w:type="dxa"/>
            <w:tcBorders>
              <w:top w:val="single" w:sz="4" w:space="0" w:color="auto"/>
              <w:left w:val="single" w:sz="4" w:space="0" w:color="auto"/>
              <w:bottom w:val="single" w:sz="4" w:space="0" w:color="auto"/>
              <w:right w:val="single" w:sz="4" w:space="0" w:color="auto"/>
            </w:tcBorders>
            <w:hideMark/>
          </w:tcPr>
          <w:p w14:paraId="7B0FB88C"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artículo 2.9.1.1.2</w:t>
            </w:r>
          </w:p>
        </w:tc>
      </w:tr>
      <w:tr w:rsidR="009D1CDF" w:rsidRPr="00507671" w14:paraId="3717FBD9" w14:textId="77777777">
        <w:trPr>
          <w:jc w:val="center"/>
        </w:trPr>
        <w:tc>
          <w:tcPr>
            <w:tcW w:w="6423" w:type="dxa"/>
            <w:tcBorders>
              <w:top w:val="single" w:sz="4" w:space="0" w:color="auto"/>
              <w:left w:val="single" w:sz="4" w:space="0" w:color="auto"/>
              <w:bottom w:val="single" w:sz="4" w:space="0" w:color="auto"/>
              <w:right w:val="single" w:sz="4" w:space="0" w:color="auto"/>
            </w:tcBorders>
            <w:hideMark/>
          </w:tcPr>
          <w:p w14:paraId="019438B0"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SF: Fiduciaria</w:t>
            </w:r>
          </w:p>
        </w:tc>
        <w:tc>
          <w:tcPr>
            <w:tcW w:w="2098" w:type="dxa"/>
            <w:tcBorders>
              <w:top w:val="single" w:sz="4" w:space="0" w:color="auto"/>
              <w:left w:val="single" w:sz="4" w:space="0" w:color="auto"/>
              <w:bottom w:val="single" w:sz="4" w:space="0" w:color="auto"/>
              <w:right w:val="single" w:sz="4" w:space="0" w:color="auto"/>
            </w:tcBorders>
            <w:hideMark/>
          </w:tcPr>
          <w:p w14:paraId="2E4F6665"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artículo 2.5.3.1.1</w:t>
            </w:r>
          </w:p>
        </w:tc>
      </w:tr>
      <w:tr w:rsidR="009D1CDF" w:rsidRPr="00507671" w14:paraId="58C156CB" w14:textId="77777777">
        <w:trPr>
          <w:jc w:val="center"/>
        </w:trPr>
        <w:tc>
          <w:tcPr>
            <w:tcW w:w="6423" w:type="dxa"/>
            <w:tcBorders>
              <w:top w:val="single" w:sz="4" w:space="0" w:color="auto"/>
              <w:left w:val="single" w:sz="4" w:space="0" w:color="auto"/>
              <w:bottom w:val="single" w:sz="4" w:space="0" w:color="auto"/>
              <w:right w:val="single" w:sz="4" w:space="0" w:color="auto"/>
            </w:tcBorders>
            <w:hideMark/>
          </w:tcPr>
          <w:p w14:paraId="2E2579EE"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SAI: Administradora de Inversiones</w:t>
            </w:r>
          </w:p>
        </w:tc>
        <w:tc>
          <w:tcPr>
            <w:tcW w:w="2098" w:type="dxa"/>
            <w:tcBorders>
              <w:top w:val="single" w:sz="4" w:space="0" w:color="auto"/>
              <w:left w:val="single" w:sz="4" w:space="0" w:color="auto"/>
              <w:bottom w:val="single" w:sz="4" w:space="0" w:color="auto"/>
              <w:right w:val="single" w:sz="4" w:space="0" w:color="auto"/>
            </w:tcBorders>
            <w:hideMark/>
          </w:tcPr>
          <w:p w14:paraId="6EC36332" w14:textId="77777777" w:rsidR="009D1CDF" w:rsidRPr="00860E84" w:rsidRDefault="009D1CDF">
            <w:pPr>
              <w:spacing w:line="259" w:lineRule="auto"/>
              <w:jc w:val="both"/>
              <w:rPr>
                <w:rFonts w:ascii="Verdana" w:hAnsi="Verdana"/>
                <w:sz w:val="16"/>
                <w:szCs w:val="16"/>
              </w:rPr>
            </w:pPr>
            <w:r w:rsidRPr="00860E84">
              <w:rPr>
                <w:rFonts w:ascii="Verdana" w:hAnsi="Verdana"/>
                <w:sz w:val="16"/>
                <w:szCs w:val="16"/>
              </w:rPr>
              <w:t>artículo 2.20.1.1.9</w:t>
            </w:r>
          </w:p>
        </w:tc>
      </w:tr>
    </w:tbl>
    <w:p w14:paraId="25F10115" w14:textId="77777777" w:rsidR="00860E84" w:rsidRPr="00507671" w:rsidRDefault="00860E84" w:rsidP="009D1CDF">
      <w:pPr>
        <w:spacing w:after="0"/>
        <w:jc w:val="both"/>
        <w:rPr>
          <w:rFonts w:ascii="Verdana" w:hAnsi="Verdana"/>
          <w:sz w:val="20"/>
          <w:szCs w:val="20"/>
        </w:rPr>
      </w:pPr>
    </w:p>
    <w:p w14:paraId="3F41AED2" w14:textId="08706AE3" w:rsidR="00080486" w:rsidRDefault="00080486" w:rsidP="00080486">
      <w:pPr>
        <w:spacing w:after="0"/>
        <w:jc w:val="both"/>
        <w:rPr>
          <w:rFonts w:ascii="Verdana" w:hAnsi="Verdana"/>
          <w:sz w:val="20"/>
          <w:szCs w:val="20"/>
        </w:rPr>
      </w:pPr>
      <w:r>
        <w:rPr>
          <w:rFonts w:ascii="Verdana" w:hAnsi="Verdana"/>
          <w:sz w:val="20"/>
          <w:szCs w:val="20"/>
        </w:rPr>
        <w:t>2.5.19.</w:t>
      </w:r>
    </w:p>
    <w:p w14:paraId="06C68D9A" w14:textId="00B12B6C" w:rsidR="009D1CDF" w:rsidRPr="006F3FCA" w:rsidRDefault="009D1CDF" w:rsidP="17FBBDE5">
      <w:pPr>
        <w:spacing w:after="0"/>
        <w:jc w:val="both"/>
        <w:rPr>
          <w:rFonts w:ascii="Verdana" w:hAnsi="Verdana"/>
          <w:sz w:val="20"/>
          <w:szCs w:val="20"/>
        </w:rPr>
      </w:pPr>
      <w:r w:rsidRPr="17FBBDE5">
        <w:rPr>
          <w:rFonts w:ascii="Verdana" w:hAnsi="Verdana"/>
          <w:sz w:val="20"/>
          <w:szCs w:val="20"/>
        </w:rPr>
        <w:t xml:space="preserve">Una vez identificada la actividad de administración de recursos de terceros de cada entidad subordinada en el exterior, el holding financiero debe determinar su exposición a los riesgos operacional, de mercado y crediticio, conforme se indica </w:t>
      </w:r>
      <w:r w:rsidR="00C56B18">
        <w:rPr>
          <w:rFonts w:ascii="Verdana" w:hAnsi="Verdana"/>
          <w:sz w:val="20"/>
          <w:szCs w:val="20"/>
        </w:rPr>
        <w:t xml:space="preserve">para cada riesgo </w:t>
      </w:r>
      <w:r w:rsidRPr="006F3FCA">
        <w:rPr>
          <w:rFonts w:ascii="Verdana" w:hAnsi="Verdana"/>
          <w:sz w:val="20"/>
          <w:szCs w:val="20"/>
        </w:rPr>
        <w:t xml:space="preserve">en </w:t>
      </w:r>
      <w:r w:rsidRPr="00507671">
        <w:rPr>
          <w:rFonts w:ascii="Verdana" w:hAnsi="Verdana"/>
          <w:sz w:val="20"/>
          <w:szCs w:val="20"/>
        </w:rPr>
        <w:t>l</w:t>
      </w:r>
      <w:r w:rsidR="00213B2E">
        <w:rPr>
          <w:rFonts w:ascii="Verdana" w:hAnsi="Verdana"/>
          <w:sz w:val="20"/>
          <w:szCs w:val="20"/>
        </w:rPr>
        <w:t>a</w:t>
      </w:r>
      <w:r w:rsidRPr="00507671">
        <w:rPr>
          <w:rFonts w:ascii="Verdana" w:hAnsi="Verdana"/>
          <w:sz w:val="20"/>
          <w:szCs w:val="20"/>
        </w:rPr>
        <w:t>s</w:t>
      </w:r>
      <w:r w:rsidRPr="006F3FCA">
        <w:rPr>
          <w:rFonts w:ascii="Verdana" w:hAnsi="Verdana"/>
          <w:sz w:val="20"/>
          <w:szCs w:val="20"/>
        </w:rPr>
        <w:t xml:space="preserve"> siguientes</w:t>
      </w:r>
      <w:r w:rsidR="003C6F09" w:rsidRPr="006F3FCA">
        <w:rPr>
          <w:rFonts w:ascii="Verdana" w:hAnsi="Verdana"/>
          <w:sz w:val="20"/>
          <w:szCs w:val="20"/>
        </w:rPr>
        <w:t xml:space="preserve"> </w:t>
      </w:r>
      <w:r w:rsidR="00213B2E">
        <w:rPr>
          <w:rFonts w:ascii="Verdana" w:hAnsi="Verdana"/>
          <w:sz w:val="20"/>
          <w:szCs w:val="20"/>
        </w:rPr>
        <w:t>instrucciones</w:t>
      </w:r>
      <w:r w:rsidRPr="006F3FCA">
        <w:rPr>
          <w:rFonts w:ascii="Verdana" w:hAnsi="Verdana"/>
          <w:sz w:val="20"/>
          <w:szCs w:val="20"/>
        </w:rPr>
        <w:t>.</w:t>
      </w:r>
    </w:p>
    <w:p w14:paraId="0A330419" w14:textId="77777777" w:rsidR="009D1CDF" w:rsidRPr="004B1665" w:rsidRDefault="009D1CDF" w:rsidP="009D1CDF">
      <w:pPr>
        <w:spacing w:after="0"/>
        <w:jc w:val="both"/>
        <w:rPr>
          <w:rFonts w:ascii="Verdana" w:hAnsi="Verdana"/>
          <w:b/>
          <w:sz w:val="20"/>
          <w:szCs w:val="20"/>
        </w:rPr>
      </w:pPr>
    </w:p>
    <w:p w14:paraId="6230E8F2" w14:textId="40866166" w:rsidR="009D1CDF" w:rsidRPr="00860E84" w:rsidRDefault="00860E84" w:rsidP="00860E84">
      <w:pPr>
        <w:pStyle w:val="Prrafodelista"/>
        <w:numPr>
          <w:ilvl w:val="0"/>
          <w:numId w:val="21"/>
        </w:numPr>
        <w:spacing w:after="0"/>
        <w:ind w:left="567" w:hanging="283"/>
        <w:jc w:val="both"/>
        <w:rPr>
          <w:rFonts w:ascii="Verdana" w:hAnsi="Verdana"/>
          <w:b/>
          <w:sz w:val="20"/>
          <w:szCs w:val="20"/>
        </w:rPr>
      </w:pPr>
      <w:r w:rsidRPr="00860E84">
        <w:rPr>
          <w:rFonts w:ascii="Verdana" w:hAnsi="Verdana"/>
          <w:b/>
          <w:sz w:val="20"/>
          <w:szCs w:val="20"/>
        </w:rPr>
        <w:t>Riesgo operacional</w:t>
      </w:r>
    </w:p>
    <w:p w14:paraId="09656D81" w14:textId="77777777" w:rsidR="009D1CDF" w:rsidRPr="00507671" w:rsidRDefault="009D1CDF" w:rsidP="009D1CDF">
      <w:pPr>
        <w:spacing w:after="0"/>
        <w:jc w:val="both"/>
        <w:rPr>
          <w:rFonts w:ascii="Verdana" w:hAnsi="Verdana"/>
          <w:b/>
          <w:sz w:val="20"/>
          <w:szCs w:val="20"/>
        </w:rPr>
      </w:pPr>
    </w:p>
    <w:p w14:paraId="5BC14720" w14:textId="4889C4DA" w:rsidR="00080486" w:rsidRDefault="00080486" w:rsidP="00080486">
      <w:pPr>
        <w:spacing w:after="0"/>
        <w:jc w:val="both"/>
        <w:rPr>
          <w:rFonts w:ascii="Verdana" w:hAnsi="Verdana"/>
          <w:sz w:val="20"/>
          <w:szCs w:val="20"/>
        </w:rPr>
      </w:pPr>
      <w:r>
        <w:rPr>
          <w:rFonts w:ascii="Verdana" w:hAnsi="Verdana"/>
          <w:sz w:val="20"/>
          <w:szCs w:val="20"/>
        </w:rPr>
        <w:t>2.5.20.</w:t>
      </w:r>
    </w:p>
    <w:p w14:paraId="1326956E" w14:textId="77777777" w:rsidR="009D1CDF" w:rsidRPr="00507671" w:rsidRDefault="009D1CDF" w:rsidP="009D1CDF">
      <w:pPr>
        <w:spacing w:after="0"/>
        <w:jc w:val="both"/>
        <w:rPr>
          <w:rFonts w:ascii="Verdana" w:hAnsi="Verdana"/>
          <w:b/>
          <w:sz w:val="20"/>
          <w:szCs w:val="20"/>
        </w:rPr>
      </w:pPr>
      <w:r w:rsidRPr="00507671">
        <w:rPr>
          <w:rFonts w:ascii="Verdana" w:hAnsi="Verdana"/>
          <w:sz w:val="20"/>
          <w:szCs w:val="20"/>
        </w:rPr>
        <w:t>El cargo de capital por la exposición al riesgo operacional se establece como se indica a continuación:</w:t>
      </w:r>
    </w:p>
    <w:p w14:paraId="4A3F4CD7" w14:textId="77777777" w:rsidR="009D1CDF" w:rsidRPr="00507671" w:rsidRDefault="009D1CDF" w:rsidP="009D1CDF">
      <w:pPr>
        <w:spacing w:after="0"/>
        <w:jc w:val="both"/>
        <w:rPr>
          <w:rFonts w:ascii="Verdana" w:hAnsi="Verdana"/>
          <w:sz w:val="20"/>
          <w:szCs w:val="20"/>
        </w:rPr>
      </w:pPr>
    </w:p>
    <w:p w14:paraId="7973B090" w14:textId="404C2F6D" w:rsidR="009D1CDF" w:rsidRPr="004B1665" w:rsidRDefault="009D1CDF" w:rsidP="00F93ADE">
      <w:pPr>
        <w:pStyle w:val="Prrafodelista"/>
        <w:numPr>
          <w:ilvl w:val="0"/>
          <w:numId w:val="7"/>
        </w:numPr>
        <w:spacing w:after="0"/>
        <w:ind w:left="567" w:hanging="567"/>
        <w:jc w:val="both"/>
        <w:rPr>
          <w:rFonts w:ascii="Verdana" w:hAnsi="Verdana"/>
          <w:sz w:val="20"/>
          <w:szCs w:val="20"/>
        </w:rPr>
      </w:pPr>
      <w:r w:rsidRPr="004B1665">
        <w:rPr>
          <w:rFonts w:ascii="Verdana" w:hAnsi="Verdana"/>
          <w:sz w:val="20"/>
          <w:szCs w:val="20"/>
        </w:rPr>
        <w:t>Sumar los ingresos por comisiones provenientes de la administración de recursos de terceros.</w:t>
      </w:r>
    </w:p>
    <w:p w14:paraId="66498A0F" w14:textId="77777777" w:rsidR="009D1CDF" w:rsidRPr="00507671" w:rsidRDefault="009D1CDF" w:rsidP="009D1CDF">
      <w:pPr>
        <w:spacing w:after="0"/>
        <w:jc w:val="both"/>
        <w:rPr>
          <w:rFonts w:ascii="Verdana" w:hAnsi="Verdana"/>
          <w:sz w:val="20"/>
          <w:szCs w:val="20"/>
        </w:rPr>
      </w:pPr>
    </w:p>
    <w:p w14:paraId="45D00D77" w14:textId="53F81D80" w:rsidR="00860E84" w:rsidRDefault="009D1CDF" w:rsidP="00860E84">
      <w:pPr>
        <w:pStyle w:val="Prrafodelista"/>
        <w:numPr>
          <w:ilvl w:val="0"/>
          <w:numId w:val="7"/>
        </w:numPr>
        <w:spacing w:after="0"/>
        <w:ind w:left="567" w:hanging="567"/>
        <w:jc w:val="both"/>
        <w:rPr>
          <w:rFonts w:ascii="Verdana" w:hAnsi="Verdana"/>
          <w:sz w:val="20"/>
          <w:szCs w:val="20"/>
        </w:rPr>
      </w:pPr>
      <w:r w:rsidRPr="004B1665">
        <w:rPr>
          <w:rFonts w:ascii="Verdana" w:hAnsi="Verdana"/>
          <w:sz w:val="20"/>
          <w:szCs w:val="20"/>
        </w:rPr>
        <w:t xml:space="preserve">Deducir los gastos por comisiones causados por la custodia de los valores administrados, conforme a lo establecido en su jurisdicción, tal como opera en Colombia conforme al </w:t>
      </w:r>
      <w:r w:rsidR="00911DA6">
        <w:rPr>
          <w:rFonts w:ascii="Verdana" w:hAnsi="Verdana"/>
          <w:sz w:val="20"/>
          <w:szCs w:val="20"/>
        </w:rPr>
        <w:t>l</w:t>
      </w:r>
      <w:r w:rsidRPr="004B1665">
        <w:rPr>
          <w:rFonts w:ascii="Verdana" w:hAnsi="Verdana"/>
          <w:sz w:val="20"/>
          <w:szCs w:val="20"/>
        </w:rPr>
        <w:t xml:space="preserve">ibro 37 de la </w:t>
      </w:r>
      <w:r w:rsidR="00911DA6">
        <w:rPr>
          <w:rFonts w:ascii="Verdana" w:hAnsi="Verdana"/>
          <w:sz w:val="20"/>
          <w:szCs w:val="20"/>
        </w:rPr>
        <w:t>p</w:t>
      </w:r>
      <w:r w:rsidRPr="004B1665">
        <w:rPr>
          <w:rFonts w:ascii="Verdana" w:hAnsi="Verdana"/>
          <w:sz w:val="20"/>
          <w:szCs w:val="20"/>
        </w:rPr>
        <w:t>arte 2 del Decreto 2555 de 2010.</w:t>
      </w:r>
    </w:p>
    <w:p w14:paraId="59A1564F" w14:textId="77777777" w:rsidR="00860E84" w:rsidRPr="00860E84" w:rsidRDefault="00860E84" w:rsidP="00860E84">
      <w:pPr>
        <w:pStyle w:val="Prrafodelista"/>
        <w:rPr>
          <w:rFonts w:ascii="Verdana" w:hAnsi="Verdana"/>
          <w:sz w:val="20"/>
          <w:szCs w:val="20"/>
        </w:rPr>
      </w:pPr>
    </w:p>
    <w:p w14:paraId="10458B14" w14:textId="6B35EF34" w:rsidR="009D1CDF" w:rsidRPr="00860E84" w:rsidRDefault="009D1CDF" w:rsidP="00860E84">
      <w:pPr>
        <w:pStyle w:val="Prrafodelista"/>
        <w:numPr>
          <w:ilvl w:val="0"/>
          <w:numId w:val="7"/>
        </w:numPr>
        <w:spacing w:after="0"/>
        <w:ind w:left="567" w:hanging="567"/>
        <w:jc w:val="both"/>
        <w:rPr>
          <w:rFonts w:ascii="Verdana" w:hAnsi="Verdana"/>
          <w:sz w:val="20"/>
          <w:szCs w:val="20"/>
        </w:rPr>
      </w:pPr>
      <w:r w:rsidRPr="00860E84">
        <w:rPr>
          <w:rFonts w:ascii="Verdana" w:hAnsi="Verdana"/>
          <w:sz w:val="20"/>
          <w:szCs w:val="20"/>
        </w:rPr>
        <w:t xml:space="preserve">Para cumplir con los requisitos señalados en </w:t>
      </w:r>
      <w:r w:rsidRPr="0067133D">
        <w:rPr>
          <w:rFonts w:ascii="Verdana" w:hAnsi="Verdana"/>
          <w:sz w:val="20"/>
          <w:szCs w:val="20"/>
        </w:rPr>
        <w:t xml:space="preserve">los </w:t>
      </w:r>
      <w:r w:rsidR="002B28AD" w:rsidRPr="0067133D">
        <w:rPr>
          <w:rFonts w:ascii="Verdana" w:hAnsi="Verdana"/>
          <w:sz w:val="20"/>
          <w:szCs w:val="20"/>
        </w:rPr>
        <w:t xml:space="preserve">literales </w:t>
      </w:r>
      <w:r w:rsidR="00911DA6">
        <w:rPr>
          <w:rFonts w:ascii="Verdana" w:hAnsi="Verdana"/>
          <w:sz w:val="20"/>
          <w:szCs w:val="20"/>
        </w:rPr>
        <w:t>(</w:t>
      </w:r>
      <w:r w:rsidR="002B28AD" w:rsidRPr="0067133D">
        <w:rPr>
          <w:rFonts w:ascii="Verdana" w:hAnsi="Verdana"/>
          <w:sz w:val="20"/>
          <w:szCs w:val="20"/>
        </w:rPr>
        <w:t>a</w:t>
      </w:r>
      <w:r w:rsidR="00911DA6">
        <w:rPr>
          <w:rFonts w:ascii="Verdana" w:hAnsi="Verdana"/>
          <w:sz w:val="20"/>
          <w:szCs w:val="20"/>
        </w:rPr>
        <w:t>)</w:t>
      </w:r>
      <w:r w:rsidR="002B28AD" w:rsidRPr="0067133D">
        <w:rPr>
          <w:rFonts w:ascii="Verdana" w:hAnsi="Verdana"/>
          <w:sz w:val="20"/>
          <w:szCs w:val="20"/>
        </w:rPr>
        <w:t xml:space="preserve"> y </w:t>
      </w:r>
      <w:r w:rsidR="00911DA6">
        <w:rPr>
          <w:rFonts w:ascii="Verdana" w:hAnsi="Verdana"/>
          <w:sz w:val="20"/>
          <w:szCs w:val="20"/>
        </w:rPr>
        <w:t>(</w:t>
      </w:r>
      <w:r w:rsidR="002B28AD" w:rsidRPr="0067133D">
        <w:rPr>
          <w:rFonts w:ascii="Verdana" w:hAnsi="Verdana"/>
          <w:sz w:val="20"/>
          <w:szCs w:val="20"/>
        </w:rPr>
        <w:t>b</w:t>
      </w:r>
      <w:r w:rsidR="00911DA6">
        <w:rPr>
          <w:rFonts w:ascii="Verdana" w:hAnsi="Verdana"/>
          <w:sz w:val="20"/>
          <w:szCs w:val="20"/>
        </w:rPr>
        <w:t>)</w:t>
      </w:r>
      <w:r w:rsidRPr="0067133D">
        <w:rPr>
          <w:rFonts w:ascii="Verdana" w:hAnsi="Verdana"/>
          <w:sz w:val="20"/>
          <w:szCs w:val="20"/>
        </w:rPr>
        <w:t xml:space="preserve"> </w:t>
      </w:r>
      <w:r w:rsidR="00E62C40" w:rsidRPr="0067133D">
        <w:rPr>
          <w:rFonts w:ascii="Verdana" w:hAnsi="Verdana"/>
          <w:sz w:val="20"/>
          <w:szCs w:val="20"/>
        </w:rPr>
        <w:t>del párrafo 2.5.20,</w:t>
      </w:r>
      <w:r w:rsidR="00E62C40" w:rsidRPr="00860E84">
        <w:rPr>
          <w:rFonts w:ascii="Verdana" w:hAnsi="Verdana"/>
          <w:sz w:val="20"/>
          <w:szCs w:val="20"/>
        </w:rPr>
        <w:t xml:space="preserve"> </w:t>
      </w:r>
      <w:r w:rsidRPr="00860E84">
        <w:rPr>
          <w:rFonts w:ascii="Verdana" w:hAnsi="Verdana"/>
          <w:sz w:val="20"/>
          <w:szCs w:val="20"/>
        </w:rPr>
        <w:t>el holding financiero debe tomar como referencia el valor promedio de los ingresos y gastos por comisiones anuales, de los últimos 3 años a la fecha de cálculo. Si la entidad no cuenta con información para los 3 años anteriores, los ingresos y gastos por comisiones deben ser calculados como el resultado de multiplicar</w:t>
      </w:r>
      <w:r w:rsidR="00077472">
        <w:rPr>
          <w:rFonts w:ascii="Verdana" w:hAnsi="Verdana"/>
          <w:sz w:val="20"/>
          <w:szCs w:val="20"/>
        </w:rPr>
        <w:t>:</w:t>
      </w:r>
      <w:r w:rsidRPr="00860E84">
        <w:rPr>
          <w:rFonts w:ascii="Verdana" w:hAnsi="Verdana"/>
          <w:sz w:val="20"/>
          <w:szCs w:val="20"/>
        </w:rPr>
        <w:t xml:space="preserve"> (i) el valor de los activos administrados por</w:t>
      </w:r>
      <w:r w:rsidR="00077472">
        <w:rPr>
          <w:rFonts w:ascii="Verdana" w:hAnsi="Verdana"/>
          <w:sz w:val="20"/>
          <w:szCs w:val="20"/>
        </w:rPr>
        <w:t xml:space="preserve">, </w:t>
      </w:r>
      <w:r w:rsidRPr="00860E84">
        <w:rPr>
          <w:rFonts w:ascii="Verdana" w:hAnsi="Verdana"/>
          <w:sz w:val="20"/>
          <w:szCs w:val="20"/>
        </w:rPr>
        <w:t>(</w:t>
      </w:r>
      <w:proofErr w:type="spellStart"/>
      <w:r w:rsidRPr="00860E84">
        <w:rPr>
          <w:rFonts w:ascii="Verdana" w:hAnsi="Verdana"/>
          <w:sz w:val="20"/>
          <w:szCs w:val="20"/>
        </w:rPr>
        <w:t>ii</w:t>
      </w:r>
      <w:proofErr w:type="spellEnd"/>
      <w:r w:rsidRPr="00860E84">
        <w:rPr>
          <w:rFonts w:ascii="Verdana" w:hAnsi="Verdana"/>
          <w:sz w:val="20"/>
          <w:szCs w:val="20"/>
        </w:rPr>
        <w:t>) los cocientes de los ingresos y gastos por comisiones, sobre el valor de los activos administrados de aquellas entidades que administraron estos activos en los últimos 3 años, en la respectiva jurisdicción.</w:t>
      </w:r>
    </w:p>
    <w:p w14:paraId="56F52BF9" w14:textId="77777777" w:rsidR="009D1CDF" w:rsidRPr="00507671" w:rsidRDefault="009D1CDF" w:rsidP="009D1CDF">
      <w:pPr>
        <w:spacing w:after="0"/>
        <w:jc w:val="both"/>
        <w:rPr>
          <w:rFonts w:ascii="Verdana" w:hAnsi="Verdana"/>
          <w:sz w:val="20"/>
          <w:szCs w:val="20"/>
        </w:rPr>
      </w:pPr>
    </w:p>
    <w:p w14:paraId="16A4C1A8" w14:textId="47587B64" w:rsidR="009D1CDF" w:rsidRPr="00507671" w:rsidRDefault="009D1CDF" w:rsidP="00F93ADE">
      <w:pPr>
        <w:pStyle w:val="Prrafodelista"/>
        <w:numPr>
          <w:ilvl w:val="0"/>
          <w:numId w:val="7"/>
        </w:numPr>
        <w:spacing w:after="0"/>
        <w:ind w:left="567" w:hanging="567"/>
        <w:jc w:val="both"/>
        <w:rPr>
          <w:rFonts w:ascii="Verdana" w:hAnsi="Verdana"/>
          <w:sz w:val="20"/>
          <w:szCs w:val="20"/>
        </w:rPr>
      </w:pPr>
      <w:r w:rsidRPr="00507671">
        <w:rPr>
          <w:rFonts w:ascii="Verdana" w:hAnsi="Verdana"/>
          <w:sz w:val="20"/>
          <w:szCs w:val="20"/>
        </w:rPr>
        <w:t xml:space="preserve">Establecer el porcentaje entre 12% y 16% que resulte de realizar la autoevaluación </w:t>
      </w:r>
      <w:r w:rsidR="002042E5">
        <w:rPr>
          <w:rFonts w:ascii="Verdana" w:hAnsi="Verdana"/>
          <w:sz w:val="20"/>
          <w:szCs w:val="20"/>
        </w:rPr>
        <w:t xml:space="preserve">para determinar el factor de ponderación </w:t>
      </w:r>
      <w:r w:rsidR="00182F41">
        <w:rPr>
          <w:rFonts w:ascii="Verdana" w:hAnsi="Verdana"/>
          <w:sz w:val="20"/>
          <w:szCs w:val="20"/>
        </w:rPr>
        <w:t xml:space="preserve">para el cálculo del valor de exposición por riesgo operacional </w:t>
      </w:r>
      <w:r w:rsidR="00182F41" w:rsidRPr="00BA2CCB">
        <w:rPr>
          <w:rFonts w:ascii="Verdana" w:hAnsi="Verdana"/>
          <w:sz w:val="20"/>
          <w:szCs w:val="20"/>
        </w:rPr>
        <w:t>del a</w:t>
      </w:r>
      <w:r w:rsidRPr="00BA2CCB">
        <w:rPr>
          <w:rFonts w:ascii="Verdana" w:hAnsi="Verdana"/>
          <w:sz w:val="20"/>
          <w:szCs w:val="20"/>
        </w:rPr>
        <w:t xml:space="preserve">nexo 14 del </w:t>
      </w:r>
      <w:r w:rsidR="00702C8B" w:rsidRPr="00BA2CCB">
        <w:rPr>
          <w:rFonts w:ascii="Verdana" w:hAnsi="Verdana"/>
          <w:sz w:val="20"/>
          <w:szCs w:val="20"/>
        </w:rPr>
        <w:t>capítulo 1 de la parte 1 de la CBRAPIF</w:t>
      </w:r>
      <w:r w:rsidRPr="00BA2CCB">
        <w:rPr>
          <w:rFonts w:ascii="Verdana" w:hAnsi="Verdana"/>
          <w:sz w:val="20"/>
          <w:szCs w:val="20"/>
        </w:rPr>
        <w:t>.</w:t>
      </w:r>
    </w:p>
    <w:p w14:paraId="49A60779" w14:textId="77777777" w:rsidR="009D1CDF" w:rsidRPr="00507671" w:rsidRDefault="009D1CDF" w:rsidP="009D1CDF">
      <w:pPr>
        <w:pStyle w:val="Prrafodelista"/>
        <w:spacing w:after="0"/>
        <w:jc w:val="both"/>
        <w:rPr>
          <w:rFonts w:ascii="Verdana" w:hAnsi="Verdana"/>
          <w:sz w:val="20"/>
          <w:szCs w:val="20"/>
        </w:rPr>
      </w:pPr>
    </w:p>
    <w:p w14:paraId="017984B4" w14:textId="58415685" w:rsidR="009D1CDF" w:rsidRPr="00507671" w:rsidRDefault="009D1CDF" w:rsidP="00F93ADE">
      <w:pPr>
        <w:pStyle w:val="Prrafodelista"/>
        <w:numPr>
          <w:ilvl w:val="0"/>
          <w:numId w:val="7"/>
        </w:numPr>
        <w:spacing w:after="0"/>
        <w:ind w:left="567" w:hanging="567"/>
        <w:jc w:val="both"/>
        <w:rPr>
          <w:rFonts w:ascii="Verdana" w:hAnsi="Verdana"/>
          <w:sz w:val="20"/>
          <w:szCs w:val="20"/>
        </w:rPr>
      </w:pPr>
      <w:r w:rsidRPr="00507671">
        <w:rPr>
          <w:rFonts w:ascii="Verdana" w:hAnsi="Verdana"/>
          <w:sz w:val="20"/>
          <w:szCs w:val="20"/>
        </w:rPr>
        <w:t>Aplicar el porcentaje obtenido en el</w:t>
      </w:r>
      <w:r w:rsidRPr="00FE0F5D">
        <w:rPr>
          <w:rFonts w:ascii="Verdana" w:hAnsi="Verdana"/>
          <w:sz w:val="20"/>
          <w:szCs w:val="20"/>
        </w:rPr>
        <w:t xml:space="preserve"> </w:t>
      </w:r>
      <w:r w:rsidR="002B28AD" w:rsidRPr="00FE0F5D">
        <w:rPr>
          <w:rFonts w:ascii="Verdana" w:hAnsi="Verdana"/>
          <w:sz w:val="20"/>
          <w:szCs w:val="20"/>
        </w:rPr>
        <w:t xml:space="preserve">literal </w:t>
      </w:r>
      <w:r w:rsidR="00911DA6">
        <w:rPr>
          <w:rFonts w:ascii="Verdana" w:hAnsi="Verdana"/>
          <w:sz w:val="20"/>
          <w:szCs w:val="20"/>
        </w:rPr>
        <w:t>(</w:t>
      </w:r>
      <w:r w:rsidR="00FE0F5D" w:rsidRPr="00FE0F5D">
        <w:rPr>
          <w:rFonts w:ascii="Verdana" w:hAnsi="Verdana"/>
          <w:sz w:val="20"/>
          <w:szCs w:val="20"/>
        </w:rPr>
        <w:t>d</w:t>
      </w:r>
      <w:r w:rsidR="00911DA6">
        <w:rPr>
          <w:rFonts w:ascii="Verdana" w:hAnsi="Verdana"/>
          <w:sz w:val="20"/>
          <w:szCs w:val="20"/>
        </w:rPr>
        <w:t>)</w:t>
      </w:r>
      <w:r w:rsidR="002B28AD" w:rsidRPr="00FE0F5D">
        <w:rPr>
          <w:rFonts w:ascii="Verdana" w:hAnsi="Verdana"/>
          <w:sz w:val="20"/>
          <w:szCs w:val="20"/>
        </w:rPr>
        <w:t xml:space="preserve"> </w:t>
      </w:r>
      <w:r w:rsidR="002D7ECF" w:rsidRPr="00FE0F5D">
        <w:rPr>
          <w:rFonts w:ascii="Verdana" w:hAnsi="Verdana"/>
          <w:sz w:val="20"/>
          <w:szCs w:val="20"/>
        </w:rPr>
        <w:t>del párrafo 2.5.20.</w:t>
      </w:r>
      <w:r w:rsidR="002D7ECF">
        <w:rPr>
          <w:rFonts w:ascii="Verdana" w:hAnsi="Verdana"/>
          <w:sz w:val="20"/>
          <w:szCs w:val="20"/>
        </w:rPr>
        <w:t xml:space="preserve"> </w:t>
      </w:r>
      <w:r w:rsidRPr="00FE0F5D">
        <w:rPr>
          <w:rFonts w:ascii="Verdana" w:hAnsi="Verdana"/>
          <w:sz w:val="20"/>
          <w:szCs w:val="20"/>
        </w:rPr>
        <w:t xml:space="preserve">al resultado de computar </w:t>
      </w:r>
      <w:r w:rsidR="00D07D38">
        <w:rPr>
          <w:rFonts w:ascii="Verdana" w:hAnsi="Verdana"/>
          <w:sz w:val="20"/>
          <w:szCs w:val="20"/>
        </w:rPr>
        <w:t xml:space="preserve">el valor de las </w:t>
      </w:r>
      <w:r w:rsidR="00A7446F">
        <w:rPr>
          <w:rFonts w:ascii="Verdana" w:hAnsi="Verdana"/>
          <w:sz w:val="20"/>
          <w:szCs w:val="20"/>
        </w:rPr>
        <w:t xml:space="preserve">comisiones y de los gastos según </w:t>
      </w:r>
      <w:r w:rsidRPr="00FE0F5D">
        <w:rPr>
          <w:rFonts w:ascii="Verdana" w:hAnsi="Verdana"/>
          <w:sz w:val="20"/>
          <w:szCs w:val="20"/>
        </w:rPr>
        <w:t>los</w:t>
      </w:r>
      <w:r w:rsidR="002B28AD" w:rsidRPr="00FE0F5D">
        <w:rPr>
          <w:rFonts w:ascii="Verdana" w:hAnsi="Verdana"/>
          <w:sz w:val="20"/>
          <w:szCs w:val="20"/>
        </w:rPr>
        <w:t xml:space="preserve"> literales </w:t>
      </w:r>
      <w:r w:rsidR="008C732B">
        <w:rPr>
          <w:rFonts w:ascii="Verdana" w:hAnsi="Verdana"/>
          <w:sz w:val="20"/>
          <w:szCs w:val="20"/>
        </w:rPr>
        <w:t>(</w:t>
      </w:r>
      <w:r w:rsidR="002B28AD" w:rsidRPr="00FE0F5D">
        <w:rPr>
          <w:rFonts w:ascii="Verdana" w:hAnsi="Verdana"/>
          <w:sz w:val="20"/>
          <w:szCs w:val="20"/>
        </w:rPr>
        <w:t>a</w:t>
      </w:r>
      <w:r w:rsidR="008C732B">
        <w:rPr>
          <w:rFonts w:ascii="Verdana" w:hAnsi="Verdana"/>
          <w:sz w:val="20"/>
          <w:szCs w:val="20"/>
        </w:rPr>
        <w:t>)</w:t>
      </w:r>
      <w:r w:rsidR="002B28AD" w:rsidRPr="00FE0F5D">
        <w:rPr>
          <w:rFonts w:ascii="Verdana" w:hAnsi="Verdana"/>
          <w:sz w:val="20"/>
          <w:szCs w:val="20"/>
        </w:rPr>
        <w:t xml:space="preserve"> y </w:t>
      </w:r>
      <w:r w:rsidR="008C732B">
        <w:rPr>
          <w:rFonts w:ascii="Verdana" w:hAnsi="Verdana"/>
          <w:sz w:val="20"/>
          <w:szCs w:val="20"/>
        </w:rPr>
        <w:t>(</w:t>
      </w:r>
      <w:r w:rsidR="002B28AD" w:rsidRPr="00FE0F5D">
        <w:rPr>
          <w:rFonts w:ascii="Verdana" w:hAnsi="Verdana"/>
          <w:sz w:val="20"/>
          <w:szCs w:val="20"/>
        </w:rPr>
        <w:t>b</w:t>
      </w:r>
      <w:r w:rsidR="008C732B">
        <w:rPr>
          <w:rFonts w:ascii="Verdana" w:hAnsi="Verdana"/>
          <w:sz w:val="20"/>
          <w:szCs w:val="20"/>
        </w:rPr>
        <w:t>)</w:t>
      </w:r>
      <w:r w:rsidR="002B28AD" w:rsidRPr="00FE0F5D">
        <w:rPr>
          <w:rFonts w:ascii="Verdana" w:hAnsi="Verdana"/>
          <w:sz w:val="20"/>
          <w:szCs w:val="20"/>
        </w:rPr>
        <w:t xml:space="preserve"> </w:t>
      </w:r>
      <w:r w:rsidR="0066520C" w:rsidRPr="00FE0F5D">
        <w:rPr>
          <w:rFonts w:ascii="Verdana" w:hAnsi="Verdana"/>
          <w:sz w:val="20"/>
          <w:szCs w:val="20"/>
        </w:rPr>
        <w:t xml:space="preserve">del </w:t>
      </w:r>
      <w:r w:rsidR="0057015F" w:rsidRPr="00FE0F5D">
        <w:rPr>
          <w:rFonts w:ascii="Verdana" w:hAnsi="Verdana"/>
          <w:sz w:val="20"/>
          <w:szCs w:val="20"/>
        </w:rPr>
        <w:t xml:space="preserve">mismo </w:t>
      </w:r>
      <w:r w:rsidR="0066520C" w:rsidRPr="00FE0F5D">
        <w:rPr>
          <w:rFonts w:ascii="Verdana" w:hAnsi="Verdana"/>
          <w:sz w:val="20"/>
          <w:szCs w:val="20"/>
        </w:rPr>
        <w:t>párrafo</w:t>
      </w:r>
      <w:r w:rsidRPr="00507671">
        <w:rPr>
          <w:rFonts w:ascii="Verdana" w:hAnsi="Verdana"/>
          <w:sz w:val="20"/>
          <w:szCs w:val="20"/>
        </w:rPr>
        <w:t xml:space="preserve">. El valor así obtenido corresponde al cargo por exposición al riesgo operacional </w:t>
      </w:r>
      <w:proofErr w:type="gramStart"/>
      <w:r w:rsidRPr="00507671">
        <w:rPr>
          <w:rFonts w:ascii="Verdana" w:hAnsi="Verdana"/>
          <w:sz w:val="20"/>
          <w:szCs w:val="20"/>
        </w:rPr>
        <w:t>a</w:t>
      </w:r>
      <w:proofErr w:type="gramEnd"/>
      <w:r w:rsidRPr="00507671">
        <w:rPr>
          <w:rFonts w:ascii="Verdana" w:hAnsi="Verdana"/>
          <w:sz w:val="20"/>
          <w:szCs w:val="20"/>
        </w:rPr>
        <w:t xml:space="preserve"> tener en cuenta para determinar la relación de solvencia de la entidad.</w:t>
      </w:r>
    </w:p>
    <w:p w14:paraId="2DE49567" w14:textId="77777777" w:rsidR="009D1CDF" w:rsidRPr="00507671" w:rsidRDefault="009D1CDF" w:rsidP="009D1CDF">
      <w:pPr>
        <w:spacing w:after="0"/>
        <w:jc w:val="both"/>
        <w:rPr>
          <w:rFonts w:ascii="Verdana" w:hAnsi="Verdana"/>
          <w:sz w:val="20"/>
          <w:szCs w:val="20"/>
        </w:rPr>
      </w:pPr>
    </w:p>
    <w:p w14:paraId="35446A1C" w14:textId="04E91221" w:rsidR="009D1CDF" w:rsidRPr="00860E84" w:rsidRDefault="00860E84" w:rsidP="00860E84">
      <w:pPr>
        <w:pStyle w:val="Prrafodelista"/>
        <w:numPr>
          <w:ilvl w:val="0"/>
          <w:numId w:val="21"/>
        </w:numPr>
        <w:spacing w:after="0"/>
        <w:ind w:left="567" w:hanging="283"/>
        <w:jc w:val="both"/>
        <w:rPr>
          <w:rFonts w:ascii="Verdana" w:hAnsi="Verdana"/>
          <w:b/>
          <w:sz w:val="20"/>
          <w:szCs w:val="20"/>
        </w:rPr>
      </w:pPr>
      <w:r w:rsidRPr="00860E84">
        <w:rPr>
          <w:rFonts w:ascii="Verdana" w:hAnsi="Verdana"/>
          <w:b/>
          <w:sz w:val="20"/>
          <w:szCs w:val="20"/>
        </w:rPr>
        <w:t>Riesgo de mercado</w:t>
      </w:r>
    </w:p>
    <w:p w14:paraId="1CA78369" w14:textId="77777777" w:rsidR="009D1CDF" w:rsidRPr="00507671" w:rsidRDefault="009D1CDF" w:rsidP="009D1CDF">
      <w:pPr>
        <w:spacing w:after="0"/>
        <w:jc w:val="both"/>
        <w:rPr>
          <w:rFonts w:ascii="Verdana" w:hAnsi="Verdana"/>
          <w:b/>
          <w:sz w:val="20"/>
          <w:szCs w:val="20"/>
        </w:rPr>
      </w:pPr>
    </w:p>
    <w:p w14:paraId="2498A466" w14:textId="1698348C" w:rsidR="00080486" w:rsidRDefault="00080486" w:rsidP="00080486">
      <w:pPr>
        <w:spacing w:after="0"/>
        <w:jc w:val="both"/>
        <w:rPr>
          <w:rFonts w:ascii="Verdana" w:hAnsi="Verdana"/>
          <w:sz w:val="20"/>
          <w:szCs w:val="20"/>
        </w:rPr>
      </w:pPr>
      <w:r>
        <w:rPr>
          <w:rFonts w:ascii="Verdana" w:hAnsi="Verdana"/>
          <w:sz w:val="20"/>
          <w:szCs w:val="20"/>
        </w:rPr>
        <w:t>2.5.2</w:t>
      </w:r>
      <w:r w:rsidR="00B11FFD">
        <w:rPr>
          <w:rFonts w:ascii="Verdana" w:hAnsi="Verdana"/>
          <w:sz w:val="20"/>
          <w:szCs w:val="20"/>
        </w:rPr>
        <w:t>1</w:t>
      </w:r>
      <w:r>
        <w:rPr>
          <w:rFonts w:ascii="Verdana" w:hAnsi="Verdana"/>
          <w:sz w:val="20"/>
          <w:szCs w:val="20"/>
        </w:rPr>
        <w:t>.</w:t>
      </w:r>
    </w:p>
    <w:p w14:paraId="61691D0F" w14:textId="47533AD0" w:rsidR="009D1CDF" w:rsidRPr="00CD371E" w:rsidRDefault="009D1CDF" w:rsidP="009D1CDF">
      <w:pPr>
        <w:spacing w:after="0"/>
        <w:jc w:val="both"/>
        <w:rPr>
          <w:rFonts w:ascii="Verdana" w:hAnsi="Verdana"/>
          <w:color w:val="7F7F7F" w:themeColor="text1" w:themeTint="80"/>
          <w:sz w:val="20"/>
          <w:szCs w:val="20"/>
        </w:rPr>
      </w:pPr>
      <w:r w:rsidRPr="00507671">
        <w:rPr>
          <w:rFonts w:ascii="Verdana" w:hAnsi="Verdana"/>
          <w:sz w:val="20"/>
          <w:szCs w:val="20"/>
        </w:rPr>
        <w:t xml:space="preserve">El cargo de capital por exposición al riesgo de mercado que se derive de las posiciones en el libro de tesorería y de las operaciones de contado, se debe establecer utilizando el modelo estándar a que se refiere </w:t>
      </w:r>
      <w:r w:rsidR="0093465F" w:rsidRPr="00CD371E">
        <w:rPr>
          <w:rFonts w:ascii="Verdana" w:hAnsi="Verdana"/>
          <w:sz w:val="20"/>
          <w:szCs w:val="20"/>
        </w:rPr>
        <w:t>e</w:t>
      </w:r>
      <w:r w:rsidRPr="00CD371E">
        <w:rPr>
          <w:rFonts w:ascii="Verdana" w:hAnsi="Verdana"/>
          <w:sz w:val="20"/>
          <w:szCs w:val="20"/>
        </w:rPr>
        <w:t xml:space="preserve">l </w:t>
      </w:r>
      <w:r w:rsidRPr="00CD371E">
        <w:rPr>
          <w:rFonts w:ascii="Verdana" w:hAnsi="Verdana"/>
          <w:color w:val="7F7F7F" w:themeColor="text1" w:themeTint="80"/>
          <w:sz w:val="20"/>
          <w:szCs w:val="20"/>
        </w:rPr>
        <w:t xml:space="preserve">anexo </w:t>
      </w:r>
      <w:r w:rsidR="006C53B2" w:rsidRPr="00CD371E">
        <w:rPr>
          <w:rFonts w:ascii="Verdana" w:hAnsi="Verdana"/>
          <w:color w:val="7F7F7F" w:themeColor="text1" w:themeTint="80"/>
          <w:sz w:val="20"/>
          <w:szCs w:val="20"/>
        </w:rPr>
        <w:t>7 del</w:t>
      </w:r>
      <w:r w:rsidRPr="00CD371E">
        <w:rPr>
          <w:rFonts w:ascii="Verdana" w:hAnsi="Verdana"/>
          <w:color w:val="7F7F7F" w:themeColor="text1" w:themeTint="80"/>
          <w:sz w:val="20"/>
          <w:szCs w:val="20"/>
        </w:rPr>
        <w:t xml:space="preserve"> </w:t>
      </w:r>
      <w:r w:rsidR="002B4A37" w:rsidRPr="00CD371E">
        <w:rPr>
          <w:rFonts w:ascii="Verdana" w:hAnsi="Verdana"/>
          <w:color w:val="7F7F7F" w:themeColor="text1" w:themeTint="80"/>
          <w:sz w:val="20"/>
          <w:szCs w:val="20"/>
        </w:rPr>
        <w:t>capítulo 1 de la parte 1 de la CBRAPIF</w:t>
      </w:r>
      <w:r w:rsidRPr="00CD371E">
        <w:rPr>
          <w:rFonts w:ascii="Verdana" w:hAnsi="Verdana"/>
          <w:color w:val="7F7F7F" w:themeColor="text1" w:themeTint="80"/>
          <w:sz w:val="20"/>
          <w:szCs w:val="20"/>
        </w:rPr>
        <w:t>.</w:t>
      </w:r>
    </w:p>
    <w:p w14:paraId="188CBCB4" w14:textId="77777777" w:rsidR="009D1CDF" w:rsidRPr="00507671" w:rsidRDefault="009D1CDF" w:rsidP="009D1CDF">
      <w:pPr>
        <w:spacing w:after="0"/>
        <w:jc w:val="both"/>
        <w:rPr>
          <w:rFonts w:ascii="Verdana" w:hAnsi="Verdana"/>
          <w:sz w:val="20"/>
          <w:szCs w:val="20"/>
        </w:rPr>
      </w:pPr>
    </w:p>
    <w:p w14:paraId="2DF22FA5" w14:textId="5F00340D" w:rsidR="00080486" w:rsidRDefault="00080486" w:rsidP="00080486">
      <w:pPr>
        <w:spacing w:after="0"/>
        <w:jc w:val="both"/>
        <w:rPr>
          <w:rFonts w:ascii="Verdana" w:hAnsi="Verdana"/>
          <w:sz w:val="20"/>
          <w:szCs w:val="20"/>
        </w:rPr>
      </w:pPr>
      <w:r>
        <w:rPr>
          <w:rFonts w:ascii="Verdana" w:hAnsi="Verdana"/>
          <w:sz w:val="20"/>
          <w:szCs w:val="20"/>
        </w:rPr>
        <w:t>2.5.2</w:t>
      </w:r>
      <w:r w:rsidR="00B11FFD">
        <w:rPr>
          <w:rFonts w:ascii="Verdana" w:hAnsi="Verdana"/>
          <w:sz w:val="20"/>
          <w:szCs w:val="20"/>
        </w:rPr>
        <w:t>2</w:t>
      </w:r>
      <w:r>
        <w:rPr>
          <w:rFonts w:ascii="Verdana" w:hAnsi="Verdana"/>
          <w:sz w:val="20"/>
          <w:szCs w:val="20"/>
        </w:rPr>
        <w:t>.</w:t>
      </w:r>
    </w:p>
    <w:p w14:paraId="6A3004ED" w14:textId="3C926CAA" w:rsidR="009D1CDF" w:rsidRPr="00507671" w:rsidRDefault="00DA49F8" w:rsidP="009D1CDF">
      <w:pPr>
        <w:spacing w:after="0"/>
        <w:jc w:val="both"/>
        <w:rPr>
          <w:rFonts w:ascii="Verdana" w:hAnsi="Verdana"/>
          <w:sz w:val="20"/>
          <w:szCs w:val="20"/>
        </w:rPr>
      </w:pPr>
      <w:r>
        <w:rPr>
          <w:rFonts w:ascii="Verdana" w:hAnsi="Verdana"/>
          <w:sz w:val="20"/>
          <w:szCs w:val="20"/>
        </w:rPr>
        <w:t>P</w:t>
      </w:r>
      <w:r w:rsidR="009D1CDF" w:rsidRPr="00507671">
        <w:rPr>
          <w:rFonts w:ascii="Verdana" w:hAnsi="Verdana"/>
          <w:sz w:val="20"/>
          <w:szCs w:val="20"/>
        </w:rPr>
        <w:t xml:space="preserve">ara la aplicación de la metodología </w:t>
      </w:r>
      <w:r w:rsidR="00C83A74">
        <w:rPr>
          <w:rFonts w:ascii="Verdana" w:hAnsi="Verdana"/>
          <w:sz w:val="20"/>
          <w:szCs w:val="20"/>
        </w:rPr>
        <w:t>estándar</w:t>
      </w:r>
      <w:r w:rsidR="009D1CDF" w:rsidRPr="00507671">
        <w:rPr>
          <w:rFonts w:ascii="Verdana" w:hAnsi="Verdana"/>
          <w:sz w:val="20"/>
          <w:szCs w:val="20"/>
        </w:rPr>
        <w:t xml:space="preserve">, se deben realizar los cálculos y aplicar los factores de riesgo, los choques de tasas de interés y componentes principales (para </w:t>
      </w:r>
      <w:r w:rsidR="00900577">
        <w:rPr>
          <w:rFonts w:ascii="Verdana" w:hAnsi="Verdana"/>
          <w:sz w:val="20"/>
          <w:szCs w:val="20"/>
        </w:rPr>
        <w:t xml:space="preserve">el </w:t>
      </w:r>
      <w:r w:rsidR="009D1CDF" w:rsidRPr="00507671">
        <w:rPr>
          <w:rFonts w:ascii="Verdana" w:hAnsi="Verdana"/>
          <w:sz w:val="20"/>
          <w:szCs w:val="20"/>
        </w:rPr>
        <w:t xml:space="preserve">riesgo de tasa de interés), los factores de sensibilidad (para riesgos de tasa de cambio </w:t>
      </w:r>
      <w:r w:rsidR="009D1CDF" w:rsidRPr="00507671">
        <w:rPr>
          <w:rFonts w:ascii="Verdana" w:hAnsi="Verdana"/>
          <w:sz w:val="20"/>
          <w:szCs w:val="20"/>
        </w:rPr>
        <w:lastRenderedPageBreak/>
        <w:t>y de precio de acciones) y la matriz de correlación de los factores para cada jurisdicción en donde opere la entidad subordinada. Para tal fin se deben utilizar como fuentes de información proveedores de información reconocidos internacionalmente, proveedores de precios para valoración autorizados para operar como tal por el supervisor de la respectiva jurisdicción o utilizar el marco normativo vigente en materia de valoración en la jurisdicción correspondiente.</w:t>
      </w:r>
    </w:p>
    <w:p w14:paraId="4F39F980" w14:textId="77777777" w:rsidR="009D1CDF" w:rsidRPr="00507671" w:rsidRDefault="009D1CDF" w:rsidP="009D1CDF">
      <w:pPr>
        <w:spacing w:after="0"/>
        <w:jc w:val="both"/>
        <w:rPr>
          <w:rFonts w:ascii="Verdana" w:hAnsi="Verdana"/>
          <w:sz w:val="20"/>
          <w:szCs w:val="20"/>
        </w:rPr>
      </w:pPr>
    </w:p>
    <w:p w14:paraId="0A4902C5" w14:textId="2B239850" w:rsidR="00080486" w:rsidRDefault="00080486" w:rsidP="00080486">
      <w:pPr>
        <w:spacing w:after="0"/>
        <w:jc w:val="both"/>
        <w:rPr>
          <w:rFonts w:ascii="Verdana" w:hAnsi="Verdana"/>
          <w:sz w:val="20"/>
          <w:szCs w:val="20"/>
        </w:rPr>
      </w:pPr>
      <w:r>
        <w:rPr>
          <w:rFonts w:ascii="Verdana" w:hAnsi="Verdana"/>
          <w:sz w:val="20"/>
          <w:szCs w:val="20"/>
        </w:rPr>
        <w:t>2.5.2</w:t>
      </w:r>
      <w:r w:rsidR="00B11FFD">
        <w:rPr>
          <w:rFonts w:ascii="Verdana" w:hAnsi="Verdana"/>
          <w:sz w:val="20"/>
          <w:szCs w:val="20"/>
        </w:rPr>
        <w:t>3</w:t>
      </w:r>
      <w:r>
        <w:rPr>
          <w:rFonts w:ascii="Verdana" w:hAnsi="Verdana"/>
          <w:sz w:val="20"/>
          <w:szCs w:val="20"/>
        </w:rPr>
        <w:t>.</w:t>
      </w:r>
    </w:p>
    <w:p w14:paraId="7E257192" w14:textId="0ECE3243" w:rsidR="009D1CDF" w:rsidRPr="00507671" w:rsidRDefault="009D1CDF" w:rsidP="009D1CDF">
      <w:pPr>
        <w:spacing w:after="0"/>
        <w:jc w:val="both"/>
        <w:rPr>
          <w:rFonts w:ascii="Verdana" w:hAnsi="Verdana"/>
          <w:sz w:val="20"/>
          <w:szCs w:val="20"/>
        </w:rPr>
      </w:pPr>
      <w:r w:rsidRPr="00507671">
        <w:rPr>
          <w:rFonts w:ascii="Verdana" w:hAnsi="Verdana"/>
          <w:sz w:val="20"/>
          <w:szCs w:val="20"/>
        </w:rPr>
        <w:t xml:space="preserve">Las posiciones en instrumentos derivados, en operaciones de repo o reporto, en operaciones simultáneas y en operaciones de transferencia temporal de valores serán tenidas en cuenta para el cálculo de los requerimientos de capital en cada uno de los módulos, de acuerdo con las condiciones señaladas en el </w:t>
      </w:r>
      <w:r w:rsidRPr="00900577">
        <w:rPr>
          <w:rFonts w:ascii="Verdana" w:hAnsi="Verdana"/>
          <w:sz w:val="20"/>
          <w:szCs w:val="20"/>
        </w:rPr>
        <w:t>mencionado anexo 7</w:t>
      </w:r>
      <w:r w:rsidR="00567383">
        <w:rPr>
          <w:rFonts w:ascii="Verdana" w:hAnsi="Verdana"/>
          <w:sz w:val="20"/>
          <w:szCs w:val="20"/>
        </w:rPr>
        <w:t xml:space="preserve"> </w:t>
      </w:r>
      <w:r w:rsidR="00567383" w:rsidRPr="00900577">
        <w:rPr>
          <w:rFonts w:ascii="Verdana" w:hAnsi="Verdana"/>
          <w:sz w:val="20"/>
          <w:szCs w:val="20"/>
        </w:rPr>
        <w:t>del capítulo 1 de la parte 1 de la CBRAPIF</w:t>
      </w:r>
      <w:r w:rsidRPr="00507671">
        <w:rPr>
          <w:rFonts w:ascii="Verdana" w:hAnsi="Verdana"/>
          <w:sz w:val="20"/>
          <w:szCs w:val="20"/>
        </w:rPr>
        <w:t>.</w:t>
      </w:r>
    </w:p>
    <w:p w14:paraId="7D82F894" w14:textId="77777777" w:rsidR="009D1CDF" w:rsidRPr="00507671" w:rsidRDefault="009D1CDF" w:rsidP="009D1CDF">
      <w:pPr>
        <w:spacing w:after="0"/>
        <w:jc w:val="both"/>
        <w:rPr>
          <w:rFonts w:ascii="Verdana" w:hAnsi="Verdana"/>
          <w:sz w:val="20"/>
          <w:szCs w:val="20"/>
        </w:rPr>
      </w:pPr>
    </w:p>
    <w:p w14:paraId="610A2361" w14:textId="30B08AC4" w:rsidR="00DA5FB8" w:rsidRDefault="00DA5FB8" w:rsidP="00DA5FB8">
      <w:pPr>
        <w:spacing w:after="0"/>
        <w:jc w:val="both"/>
        <w:rPr>
          <w:rFonts w:ascii="Verdana" w:hAnsi="Verdana"/>
          <w:sz w:val="20"/>
          <w:szCs w:val="20"/>
        </w:rPr>
      </w:pPr>
      <w:r>
        <w:rPr>
          <w:rFonts w:ascii="Verdana" w:hAnsi="Verdana"/>
          <w:sz w:val="20"/>
          <w:szCs w:val="20"/>
        </w:rPr>
        <w:t>2.5.2</w:t>
      </w:r>
      <w:r w:rsidR="00B11FFD">
        <w:rPr>
          <w:rFonts w:ascii="Verdana" w:hAnsi="Verdana"/>
          <w:sz w:val="20"/>
          <w:szCs w:val="20"/>
        </w:rPr>
        <w:t>4</w:t>
      </w:r>
      <w:r>
        <w:rPr>
          <w:rFonts w:ascii="Verdana" w:hAnsi="Verdana"/>
          <w:sz w:val="20"/>
          <w:szCs w:val="20"/>
        </w:rPr>
        <w:t>.</w:t>
      </w:r>
    </w:p>
    <w:p w14:paraId="2487406D"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Para el cálculo de los factores aplicables a cada uno de los módulos (riesgo de tasa de interés, riesgo de tasa de cambio, riesgo de precio de acciones y riesgo de FIC), se deben seguir las siguientes instrucciones:</w:t>
      </w:r>
    </w:p>
    <w:p w14:paraId="73BF5668" w14:textId="77777777" w:rsidR="009D1CDF" w:rsidRPr="00507671" w:rsidRDefault="009D1CDF" w:rsidP="009D1CDF">
      <w:pPr>
        <w:spacing w:after="0"/>
        <w:jc w:val="both"/>
        <w:rPr>
          <w:rFonts w:ascii="Verdana" w:hAnsi="Verdana"/>
          <w:b/>
          <w:sz w:val="20"/>
          <w:szCs w:val="20"/>
        </w:rPr>
      </w:pPr>
    </w:p>
    <w:p w14:paraId="0E62D88F" w14:textId="1B07104F" w:rsidR="009D1CDF" w:rsidRPr="00A02402" w:rsidRDefault="009D1CDF" w:rsidP="00F93ADE">
      <w:pPr>
        <w:pStyle w:val="Prrafodelista"/>
        <w:numPr>
          <w:ilvl w:val="1"/>
          <w:numId w:val="2"/>
        </w:numPr>
        <w:spacing w:after="0"/>
        <w:ind w:left="567" w:hanging="567"/>
        <w:jc w:val="both"/>
        <w:rPr>
          <w:rFonts w:ascii="Verdana" w:hAnsi="Verdana"/>
          <w:sz w:val="20"/>
          <w:szCs w:val="20"/>
        </w:rPr>
      </w:pPr>
      <w:r w:rsidRPr="00A02402">
        <w:rPr>
          <w:rFonts w:ascii="Verdana" w:hAnsi="Verdana"/>
          <w:sz w:val="20"/>
          <w:szCs w:val="20"/>
        </w:rPr>
        <w:t>Riesgo de tasa de interés: Se deben calcular los factores de riesgo de tasa de interés correspondientes a la jurisdicción en donde opera cada subordinada.</w:t>
      </w:r>
    </w:p>
    <w:p w14:paraId="011A9456" w14:textId="77777777" w:rsidR="009D1CDF" w:rsidRPr="00507671" w:rsidRDefault="009D1CDF" w:rsidP="009D1CDF">
      <w:pPr>
        <w:spacing w:after="0"/>
        <w:jc w:val="both"/>
        <w:rPr>
          <w:rFonts w:ascii="Verdana" w:hAnsi="Verdana"/>
          <w:sz w:val="20"/>
          <w:szCs w:val="20"/>
        </w:rPr>
      </w:pPr>
    </w:p>
    <w:p w14:paraId="73B94510" w14:textId="6B79BB39" w:rsidR="009D1CDF" w:rsidRPr="00A02402" w:rsidRDefault="009D1CDF" w:rsidP="00F93ADE">
      <w:pPr>
        <w:pStyle w:val="Prrafodelista"/>
        <w:numPr>
          <w:ilvl w:val="1"/>
          <w:numId w:val="2"/>
        </w:numPr>
        <w:spacing w:after="0"/>
        <w:ind w:left="567" w:hanging="567"/>
        <w:jc w:val="both"/>
        <w:rPr>
          <w:rFonts w:ascii="Verdana" w:hAnsi="Verdana"/>
          <w:sz w:val="20"/>
          <w:szCs w:val="20"/>
        </w:rPr>
      </w:pPr>
      <w:r w:rsidRPr="00A02402">
        <w:rPr>
          <w:rFonts w:ascii="Verdana" w:hAnsi="Verdana"/>
          <w:sz w:val="20"/>
          <w:szCs w:val="20"/>
        </w:rPr>
        <w:t>Riesgo de tasa de cambio: Se deben calcular los factores de sensibilidad por monedas, de manera separada al menos para el dólar de los Estados Unidos de América y el euro, respecto de la moneda local de la respectiva jurisdicción.</w:t>
      </w:r>
    </w:p>
    <w:p w14:paraId="259B5BE5" w14:textId="77777777" w:rsidR="009D1CDF" w:rsidRPr="00507671" w:rsidRDefault="009D1CDF" w:rsidP="009D1CDF">
      <w:pPr>
        <w:spacing w:after="0"/>
        <w:jc w:val="both"/>
        <w:rPr>
          <w:rFonts w:ascii="Verdana" w:hAnsi="Verdana"/>
          <w:sz w:val="20"/>
          <w:szCs w:val="20"/>
        </w:rPr>
      </w:pPr>
    </w:p>
    <w:p w14:paraId="5421208E" w14:textId="5814F188" w:rsidR="009D1CDF" w:rsidRPr="00A02402" w:rsidRDefault="009D1CDF" w:rsidP="00F93ADE">
      <w:pPr>
        <w:pStyle w:val="Prrafodelista"/>
        <w:numPr>
          <w:ilvl w:val="1"/>
          <w:numId w:val="2"/>
        </w:numPr>
        <w:spacing w:after="0"/>
        <w:ind w:left="567" w:hanging="567"/>
        <w:jc w:val="both"/>
        <w:rPr>
          <w:rFonts w:ascii="Verdana" w:hAnsi="Verdana"/>
          <w:sz w:val="20"/>
          <w:szCs w:val="20"/>
          <w:lang w:val="es-MX"/>
        </w:rPr>
      </w:pPr>
      <w:r w:rsidRPr="00A02402">
        <w:rPr>
          <w:rFonts w:ascii="Verdana" w:hAnsi="Verdana"/>
          <w:sz w:val="20"/>
          <w:szCs w:val="20"/>
          <w:lang w:val="es-MX"/>
        </w:rPr>
        <w:t>El factor de riesgo aplicable a cada moneda debe ser calculado como el percentil 5 de las variaciones observadas en la respectiva tasa de cambio, para un horizonte de tenencia de 20 días hábiles de negociación. Para esta estimación se debe utilizar un periodo correspondiente a los últimos 5 años de historia, el cual se debe actualizar, de forma tal que la última observación utilizada se encuentre en los 3 meses anteriores a la fecha del cálculo de la exposición.</w:t>
      </w:r>
    </w:p>
    <w:p w14:paraId="15EAC28D" w14:textId="77777777" w:rsidR="009D1CDF" w:rsidRPr="00507671" w:rsidRDefault="009D1CDF" w:rsidP="009D1CDF">
      <w:pPr>
        <w:spacing w:after="0"/>
        <w:jc w:val="both"/>
        <w:rPr>
          <w:rFonts w:ascii="Verdana" w:hAnsi="Verdana"/>
          <w:sz w:val="20"/>
          <w:szCs w:val="20"/>
        </w:rPr>
      </w:pPr>
    </w:p>
    <w:p w14:paraId="6A366254" w14:textId="6DC3DFC6" w:rsidR="009D1CDF" w:rsidRPr="00A02402" w:rsidRDefault="009D1CDF" w:rsidP="00F93ADE">
      <w:pPr>
        <w:pStyle w:val="Prrafodelista"/>
        <w:numPr>
          <w:ilvl w:val="1"/>
          <w:numId w:val="2"/>
        </w:numPr>
        <w:spacing w:after="0"/>
        <w:ind w:left="567" w:hanging="567"/>
        <w:jc w:val="both"/>
        <w:rPr>
          <w:rFonts w:ascii="Verdana" w:hAnsi="Verdana"/>
          <w:sz w:val="20"/>
          <w:szCs w:val="20"/>
          <w:lang w:val="es-ES_tradnl"/>
        </w:rPr>
      </w:pPr>
      <w:r w:rsidRPr="00A02402">
        <w:rPr>
          <w:rFonts w:ascii="Verdana" w:hAnsi="Verdana"/>
          <w:sz w:val="20"/>
          <w:szCs w:val="20"/>
        </w:rPr>
        <w:t xml:space="preserve">Riesgo de precio de las acciones: </w:t>
      </w:r>
      <w:r w:rsidRPr="00A02402">
        <w:rPr>
          <w:rFonts w:ascii="Verdana" w:hAnsi="Verdana"/>
          <w:sz w:val="20"/>
          <w:szCs w:val="20"/>
          <w:lang w:val="es-MX"/>
        </w:rPr>
        <w:t>El factor de riesgo aplicable al mercado local de acciones del país donde se encuentra la entidad subordinada debe ser calculado como el percentil 5 de las variaciones observadas, para un horizonte de tenencia de 20 días hábiles de negociación. Para efectuar esta estimación el holding financiero debe utilizar un periodo correspondiente a los últimos 5 años de historia, de forma tal que la última observación utilizada se encuentre en los 3 meses anteriores a la fecha del cálculo de la exposición.</w:t>
      </w:r>
    </w:p>
    <w:p w14:paraId="436718D1" w14:textId="77777777" w:rsidR="009D1CDF" w:rsidRPr="00507671" w:rsidRDefault="009D1CDF" w:rsidP="009D1CDF">
      <w:pPr>
        <w:spacing w:after="0"/>
        <w:jc w:val="both"/>
        <w:rPr>
          <w:rFonts w:ascii="Verdana" w:hAnsi="Verdana"/>
          <w:sz w:val="20"/>
          <w:szCs w:val="20"/>
          <w:lang w:val="es-MX"/>
        </w:rPr>
      </w:pPr>
    </w:p>
    <w:p w14:paraId="652FDDC5" w14:textId="5AB488DE" w:rsidR="009D1CDF" w:rsidRPr="00A02402" w:rsidRDefault="009D1CDF" w:rsidP="00F93ADE">
      <w:pPr>
        <w:pStyle w:val="Prrafodelista"/>
        <w:numPr>
          <w:ilvl w:val="1"/>
          <w:numId w:val="2"/>
        </w:numPr>
        <w:spacing w:after="0"/>
        <w:ind w:left="567" w:hanging="567"/>
        <w:jc w:val="both"/>
        <w:rPr>
          <w:rFonts w:ascii="Verdana" w:hAnsi="Verdana"/>
          <w:sz w:val="20"/>
          <w:szCs w:val="20"/>
        </w:rPr>
      </w:pPr>
      <w:r w:rsidRPr="00A02402">
        <w:rPr>
          <w:rFonts w:ascii="Verdana" w:hAnsi="Verdana"/>
          <w:sz w:val="20"/>
          <w:szCs w:val="20"/>
          <w:lang w:val="es-MX"/>
        </w:rPr>
        <w:t>Para los casos en que la entidad subordinada tenga posiciones en más de un mercado accionario, el componente de riesgo general debe ser calculado separadamente para cada mercado siguiendo la metodología antes indicada.</w:t>
      </w:r>
    </w:p>
    <w:p w14:paraId="785BB238" w14:textId="77777777" w:rsidR="009D1CDF" w:rsidRPr="00507671" w:rsidRDefault="009D1CDF" w:rsidP="009D1CDF">
      <w:pPr>
        <w:spacing w:after="0"/>
        <w:jc w:val="both"/>
        <w:rPr>
          <w:rFonts w:ascii="Verdana" w:hAnsi="Verdana"/>
          <w:sz w:val="20"/>
          <w:szCs w:val="20"/>
        </w:rPr>
      </w:pPr>
    </w:p>
    <w:p w14:paraId="70D0FE82" w14:textId="39128395" w:rsidR="009D1CDF" w:rsidRPr="00A02402" w:rsidRDefault="009D1CDF" w:rsidP="00F93ADE">
      <w:pPr>
        <w:pStyle w:val="Prrafodelista"/>
        <w:numPr>
          <w:ilvl w:val="1"/>
          <w:numId w:val="2"/>
        </w:numPr>
        <w:spacing w:after="0"/>
        <w:ind w:left="567" w:hanging="567"/>
        <w:jc w:val="both"/>
        <w:rPr>
          <w:rFonts w:ascii="Verdana" w:hAnsi="Verdana"/>
          <w:sz w:val="20"/>
          <w:szCs w:val="20"/>
          <w:lang w:val="es-ES_tradnl"/>
        </w:rPr>
      </w:pPr>
      <w:r w:rsidRPr="00A02402">
        <w:rPr>
          <w:rFonts w:ascii="Verdana" w:hAnsi="Verdana"/>
          <w:sz w:val="20"/>
          <w:szCs w:val="20"/>
        </w:rPr>
        <w:t xml:space="preserve">Riesgo de Fondos de Inversión Colectiva (FIC): </w:t>
      </w:r>
      <w:r w:rsidRPr="00A02402">
        <w:rPr>
          <w:rFonts w:ascii="Verdana" w:hAnsi="Verdana"/>
          <w:sz w:val="20"/>
          <w:szCs w:val="20"/>
          <w:lang w:val="es-MX"/>
        </w:rPr>
        <w:t>Para las inversiones en FIC, la exposición al riesgo de mercado se debe calcular aplicando las siguientes instrucciones:</w:t>
      </w:r>
    </w:p>
    <w:p w14:paraId="1CC0BE49" w14:textId="77777777" w:rsidR="009D1CDF" w:rsidRPr="00507671" w:rsidRDefault="009D1CDF" w:rsidP="009D1CDF">
      <w:pPr>
        <w:spacing w:after="0"/>
        <w:jc w:val="both"/>
        <w:rPr>
          <w:rFonts w:ascii="Verdana" w:hAnsi="Verdana"/>
          <w:sz w:val="20"/>
          <w:szCs w:val="20"/>
        </w:rPr>
      </w:pPr>
    </w:p>
    <w:p w14:paraId="2950B024" w14:textId="18C432D5" w:rsidR="009D1CDF" w:rsidRPr="00507671" w:rsidRDefault="009D1CDF" w:rsidP="00F93ADE">
      <w:pPr>
        <w:pStyle w:val="Prrafodelista"/>
        <w:numPr>
          <w:ilvl w:val="2"/>
          <w:numId w:val="4"/>
        </w:numPr>
        <w:spacing w:after="0"/>
        <w:ind w:left="1134" w:hanging="567"/>
        <w:jc w:val="both"/>
        <w:rPr>
          <w:rFonts w:ascii="Verdana" w:hAnsi="Verdana"/>
          <w:sz w:val="20"/>
          <w:szCs w:val="20"/>
          <w:lang w:val="es-MX"/>
        </w:rPr>
      </w:pPr>
      <w:r w:rsidRPr="00507671">
        <w:rPr>
          <w:rFonts w:ascii="Verdana" w:hAnsi="Verdana"/>
          <w:sz w:val="20"/>
          <w:szCs w:val="20"/>
          <w:lang w:val="es-MX"/>
        </w:rPr>
        <w:t>Las subordinadas que tengan inversiones en FIC, cuyo reglamento estipule que al menos el 60% de su portafolio puede constituirse por acciones o índices accionarios, estarán sujetas al factor de riesgo de precio de las acciones.</w:t>
      </w:r>
    </w:p>
    <w:p w14:paraId="178222B5" w14:textId="77777777" w:rsidR="009D1CDF" w:rsidRPr="00507671" w:rsidRDefault="009D1CDF" w:rsidP="009D1CDF">
      <w:pPr>
        <w:spacing w:after="0"/>
        <w:jc w:val="both"/>
        <w:rPr>
          <w:rFonts w:ascii="Verdana" w:hAnsi="Verdana"/>
          <w:sz w:val="20"/>
          <w:szCs w:val="20"/>
          <w:lang w:val="es-MX"/>
        </w:rPr>
      </w:pPr>
    </w:p>
    <w:p w14:paraId="767A341F" w14:textId="7A91C8F5" w:rsidR="009D1CDF" w:rsidRPr="00A02402" w:rsidRDefault="009D1CDF" w:rsidP="00F93ADE">
      <w:pPr>
        <w:pStyle w:val="Prrafodelista"/>
        <w:numPr>
          <w:ilvl w:val="2"/>
          <w:numId w:val="4"/>
        </w:numPr>
        <w:spacing w:after="0"/>
        <w:ind w:left="1134" w:hanging="567"/>
        <w:jc w:val="both"/>
        <w:rPr>
          <w:rFonts w:ascii="Verdana" w:hAnsi="Verdana"/>
          <w:sz w:val="20"/>
          <w:szCs w:val="20"/>
          <w:lang w:val="es-MX"/>
        </w:rPr>
      </w:pPr>
      <w:r w:rsidRPr="17FBBDE5">
        <w:rPr>
          <w:rFonts w:ascii="Verdana" w:hAnsi="Verdana"/>
          <w:sz w:val="20"/>
          <w:szCs w:val="20"/>
          <w:lang w:val="es-MX"/>
        </w:rPr>
        <w:t>Las subordinadas que tengan inversiones en FIC diferentes</w:t>
      </w:r>
      <w:r w:rsidR="00525003">
        <w:rPr>
          <w:rFonts w:ascii="Verdana" w:hAnsi="Verdana"/>
          <w:sz w:val="20"/>
          <w:szCs w:val="20"/>
          <w:lang w:val="es-MX"/>
        </w:rPr>
        <w:t xml:space="preserve"> de</w:t>
      </w:r>
      <w:r w:rsidRPr="17FBBDE5">
        <w:rPr>
          <w:rFonts w:ascii="Verdana" w:hAnsi="Verdana"/>
          <w:sz w:val="20"/>
          <w:szCs w:val="20"/>
          <w:lang w:val="es-MX"/>
        </w:rPr>
        <w:t xml:space="preserve"> las señaladas </w:t>
      </w:r>
      <w:r w:rsidRPr="00696A5C">
        <w:rPr>
          <w:rFonts w:ascii="Verdana" w:hAnsi="Verdana"/>
          <w:sz w:val="20"/>
          <w:szCs w:val="20"/>
          <w:lang w:val="es-MX"/>
        </w:rPr>
        <w:t xml:space="preserve">en el </w:t>
      </w:r>
      <w:r w:rsidR="00376111" w:rsidRPr="00696A5C">
        <w:rPr>
          <w:rFonts w:ascii="Verdana" w:hAnsi="Verdana"/>
          <w:sz w:val="20"/>
          <w:szCs w:val="20"/>
          <w:lang w:val="es-MX"/>
        </w:rPr>
        <w:t xml:space="preserve">literal (i) </w:t>
      </w:r>
      <w:r w:rsidRPr="00696A5C">
        <w:rPr>
          <w:rFonts w:ascii="Verdana" w:hAnsi="Verdana"/>
          <w:sz w:val="20"/>
          <w:szCs w:val="20"/>
          <w:lang w:val="es-MX"/>
        </w:rPr>
        <w:t>anterior,</w:t>
      </w:r>
      <w:r w:rsidRPr="17FBBDE5">
        <w:rPr>
          <w:rFonts w:ascii="Verdana" w:hAnsi="Verdana"/>
          <w:sz w:val="20"/>
          <w:szCs w:val="20"/>
          <w:lang w:val="es-MX"/>
        </w:rPr>
        <w:t xml:space="preserve"> y que tengan al menos 5 años de historia, deben considerar el factor de riesgo del FIC que se calcula como el percentil 5 de las variaciones del valor de la unidad del respectivo FIC, que corresponde a las variaciones observadas para un horizonte de tenencia de 10 días hábiles de negociación. Para esta estimación se debe utilizar un periodo correspondiente a los últimos 5 años de historia, cuya información más reciente se debe encontrar dentro de los últimos tres meses de reporte.</w:t>
      </w:r>
    </w:p>
    <w:p w14:paraId="492E7635" w14:textId="77777777" w:rsidR="009D1CDF" w:rsidRPr="00507671" w:rsidRDefault="009D1CDF" w:rsidP="009D1CDF">
      <w:pPr>
        <w:spacing w:after="0"/>
        <w:jc w:val="both"/>
        <w:rPr>
          <w:rFonts w:ascii="Verdana" w:hAnsi="Verdana"/>
          <w:sz w:val="20"/>
          <w:szCs w:val="20"/>
          <w:lang w:val="es-MX"/>
        </w:rPr>
      </w:pPr>
    </w:p>
    <w:p w14:paraId="54F9C826" w14:textId="7AD64CE7" w:rsidR="009D1CDF" w:rsidRPr="00D15165" w:rsidRDefault="009D1CDF" w:rsidP="009D1CDF">
      <w:pPr>
        <w:pStyle w:val="Prrafodelista"/>
        <w:numPr>
          <w:ilvl w:val="2"/>
          <w:numId w:val="4"/>
        </w:numPr>
        <w:spacing w:after="0"/>
        <w:ind w:left="1134" w:hanging="567"/>
        <w:jc w:val="both"/>
        <w:rPr>
          <w:rFonts w:ascii="Verdana" w:hAnsi="Verdana"/>
          <w:sz w:val="20"/>
          <w:szCs w:val="20"/>
          <w:lang w:val="es-MX"/>
        </w:rPr>
      </w:pPr>
      <w:r w:rsidRPr="00507671">
        <w:rPr>
          <w:rFonts w:ascii="Verdana" w:hAnsi="Verdana"/>
          <w:sz w:val="20"/>
          <w:szCs w:val="20"/>
          <w:lang w:val="es-MX"/>
        </w:rPr>
        <w:t xml:space="preserve">Las subordinadas que tengan inversiones en FIC diferentes a las señaladas en el </w:t>
      </w:r>
      <w:r w:rsidR="00B333A4" w:rsidRPr="00696A5C">
        <w:rPr>
          <w:rFonts w:ascii="Verdana" w:hAnsi="Verdana"/>
          <w:sz w:val="20"/>
          <w:szCs w:val="20"/>
          <w:lang w:val="es-MX"/>
        </w:rPr>
        <w:t xml:space="preserve">literal </w:t>
      </w:r>
      <w:r w:rsidR="00696A5C" w:rsidRPr="00696A5C">
        <w:rPr>
          <w:rFonts w:ascii="Verdana" w:hAnsi="Verdana"/>
          <w:sz w:val="20"/>
          <w:szCs w:val="20"/>
          <w:lang w:val="es-MX"/>
        </w:rPr>
        <w:t>(</w:t>
      </w:r>
      <w:r w:rsidR="00D06ECA" w:rsidRPr="00696A5C">
        <w:rPr>
          <w:rFonts w:ascii="Verdana" w:hAnsi="Verdana"/>
          <w:sz w:val="20"/>
          <w:szCs w:val="20"/>
          <w:lang w:val="es-MX"/>
        </w:rPr>
        <w:t>i</w:t>
      </w:r>
      <w:r w:rsidR="00696A5C" w:rsidRPr="00696A5C">
        <w:rPr>
          <w:rFonts w:ascii="Verdana" w:hAnsi="Verdana"/>
          <w:sz w:val="20"/>
          <w:szCs w:val="20"/>
          <w:lang w:val="es-MX"/>
        </w:rPr>
        <w:t>)</w:t>
      </w:r>
      <w:r w:rsidR="00D06ECA" w:rsidRPr="00696A5C">
        <w:rPr>
          <w:rFonts w:ascii="Verdana" w:hAnsi="Verdana"/>
          <w:sz w:val="20"/>
          <w:szCs w:val="20"/>
          <w:lang w:val="es-MX"/>
        </w:rPr>
        <w:t xml:space="preserve"> </w:t>
      </w:r>
      <w:r w:rsidR="005125F3">
        <w:rPr>
          <w:rFonts w:ascii="Verdana" w:hAnsi="Verdana"/>
          <w:sz w:val="20"/>
          <w:szCs w:val="20"/>
          <w:lang w:val="es-MX"/>
        </w:rPr>
        <w:t xml:space="preserve">del presente párrafo </w:t>
      </w:r>
      <w:r w:rsidRPr="00507671">
        <w:rPr>
          <w:rFonts w:ascii="Verdana" w:hAnsi="Verdana"/>
          <w:sz w:val="20"/>
          <w:szCs w:val="20"/>
          <w:lang w:val="es-MX"/>
        </w:rPr>
        <w:t xml:space="preserve">y que no tengan al menos 5 años de </w:t>
      </w:r>
      <w:r w:rsidRPr="00507671">
        <w:rPr>
          <w:rFonts w:ascii="Verdana" w:hAnsi="Verdana"/>
          <w:sz w:val="20"/>
          <w:szCs w:val="20"/>
          <w:lang w:val="es-MX"/>
        </w:rPr>
        <w:lastRenderedPageBreak/>
        <w:t>historia, deben aplicar el factor de riesgo establecido para el riesgo general de precio de acciones.</w:t>
      </w:r>
    </w:p>
    <w:p w14:paraId="2BBD1BB2" w14:textId="403D7600" w:rsidR="00073959" w:rsidRDefault="00073959" w:rsidP="00073959">
      <w:pPr>
        <w:spacing w:after="0"/>
        <w:jc w:val="both"/>
        <w:rPr>
          <w:rFonts w:ascii="Verdana" w:hAnsi="Verdana"/>
          <w:sz w:val="20"/>
          <w:szCs w:val="20"/>
        </w:rPr>
      </w:pPr>
      <w:r>
        <w:rPr>
          <w:rFonts w:ascii="Verdana" w:hAnsi="Verdana"/>
          <w:sz w:val="20"/>
          <w:szCs w:val="20"/>
        </w:rPr>
        <w:t>2.5.2</w:t>
      </w:r>
      <w:r w:rsidR="00B11FFD">
        <w:rPr>
          <w:rFonts w:ascii="Verdana" w:hAnsi="Verdana"/>
          <w:sz w:val="20"/>
          <w:szCs w:val="20"/>
        </w:rPr>
        <w:t>5</w:t>
      </w:r>
      <w:r>
        <w:rPr>
          <w:rFonts w:ascii="Verdana" w:hAnsi="Verdana"/>
          <w:sz w:val="20"/>
          <w:szCs w:val="20"/>
        </w:rPr>
        <w:t>.</w:t>
      </w:r>
    </w:p>
    <w:p w14:paraId="0D803299" w14:textId="1B1E2706" w:rsidR="009D1CDF" w:rsidRPr="00507671" w:rsidRDefault="00F7308C" w:rsidP="009D1CDF">
      <w:pPr>
        <w:spacing w:after="0"/>
        <w:jc w:val="both"/>
        <w:rPr>
          <w:rFonts w:ascii="Verdana" w:hAnsi="Verdana"/>
          <w:sz w:val="20"/>
          <w:szCs w:val="20"/>
        </w:rPr>
      </w:pPr>
      <w:r>
        <w:rPr>
          <w:rFonts w:ascii="Verdana" w:hAnsi="Verdana"/>
          <w:sz w:val="20"/>
          <w:szCs w:val="20"/>
        </w:rPr>
        <w:t>P</w:t>
      </w:r>
      <w:r w:rsidR="009D1CDF" w:rsidRPr="00507671">
        <w:rPr>
          <w:rFonts w:ascii="Verdana" w:hAnsi="Verdana"/>
          <w:sz w:val="20"/>
          <w:szCs w:val="20"/>
        </w:rPr>
        <w:t>ara el cálculo de la matriz de correlaciones el holding financiero debe construir una matriz cuadrada y simétrica que tiene unos en la diagonal y fuera de ella los coeficientes de correlación entre cada uno de los factores de riesgo, utilizando para ello, el mismo periodo de 5 años de historia antes indicado, verificando que se incluya el mismo número de observaciones en el cálculo de todos los factores.</w:t>
      </w:r>
    </w:p>
    <w:p w14:paraId="0A21D46D" w14:textId="77777777" w:rsidR="009D1CDF" w:rsidRPr="00507671" w:rsidRDefault="009D1CDF" w:rsidP="009D1CDF">
      <w:pPr>
        <w:spacing w:after="0"/>
        <w:jc w:val="both"/>
        <w:rPr>
          <w:rFonts w:ascii="Verdana" w:hAnsi="Verdana"/>
          <w:sz w:val="20"/>
          <w:szCs w:val="20"/>
        </w:rPr>
      </w:pPr>
    </w:p>
    <w:p w14:paraId="4EDF1FF4" w14:textId="7B0E4748" w:rsidR="009D1CDF" w:rsidRPr="00D15165" w:rsidRDefault="00D15165" w:rsidP="00D15165">
      <w:pPr>
        <w:pStyle w:val="Prrafodelista"/>
        <w:numPr>
          <w:ilvl w:val="0"/>
          <w:numId w:val="21"/>
        </w:numPr>
        <w:spacing w:after="0"/>
        <w:ind w:left="567" w:hanging="283"/>
        <w:jc w:val="both"/>
        <w:rPr>
          <w:rFonts w:ascii="Verdana" w:hAnsi="Verdana"/>
          <w:b/>
          <w:sz w:val="20"/>
          <w:szCs w:val="20"/>
        </w:rPr>
      </w:pPr>
      <w:r>
        <w:rPr>
          <w:rFonts w:ascii="Verdana" w:hAnsi="Verdana"/>
          <w:b/>
          <w:sz w:val="20"/>
          <w:szCs w:val="20"/>
        </w:rPr>
        <w:t>A</w:t>
      </w:r>
      <w:r w:rsidRPr="00D15165">
        <w:rPr>
          <w:rFonts w:ascii="Verdana" w:hAnsi="Verdana"/>
          <w:b/>
          <w:sz w:val="20"/>
          <w:szCs w:val="20"/>
        </w:rPr>
        <w:t xml:space="preserve">ctivos ponderados por riesgo de crédito </w:t>
      </w:r>
    </w:p>
    <w:p w14:paraId="60D9C2FB" w14:textId="77777777" w:rsidR="009D1CDF" w:rsidRPr="00507671" w:rsidRDefault="009D1CDF" w:rsidP="009D1CDF">
      <w:pPr>
        <w:spacing w:after="0"/>
        <w:jc w:val="both"/>
        <w:rPr>
          <w:rFonts w:ascii="Verdana" w:hAnsi="Verdana"/>
          <w:b/>
          <w:sz w:val="20"/>
          <w:szCs w:val="20"/>
        </w:rPr>
      </w:pPr>
    </w:p>
    <w:p w14:paraId="5AED0DE5" w14:textId="5C434988" w:rsidR="00073959" w:rsidRDefault="00073959" w:rsidP="00073959">
      <w:pPr>
        <w:spacing w:after="0"/>
        <w:jc w:val="both"/>
        <w:rPr>
          <w:rFonts w:ascii="Verdana" w:hAnsi="Verdana"/>
          <w:sz w:val="20"/>
          <w:szCs w:val="20"/>
        </w:rPr>
      </w:pPr>
      <w:r>
        <w:rPr>
          <w:rFonts w:ascii="Verdana" w:hAnsi="Verdana"/>
          <w:sz w:val="20"/>
          <w:szCs w:val="20"/>
        </w:rPr>
        <w:t>2.5.2</w:t>
      </w:r>
      <w:r w:rsidR="00B11FFD">
        <w:rPr>
          <w:rFonts w:ascii="Verdana" w:hAnsi="Verdana"/>
          <w:sz w:val="20"/>
          <w:szCs w:val="20"/>
        </w:rPr>
        <w:t>6</w:t>
      </w:r>
      <w:r>
        <w:rPr>
          <w:rFonts w:ascii="Verdana" w:hAnsi="Verdana"/>
          <w:sz w:val="20"/>
          <w:szCs w:val="20"/>
        </w:rPr>
        <w:t>.</w:t>
      </w:r>
    </w:p>
    <w:p w14:paraId="1D1A143E" w14:textId="77777777" w:rsidR="009D1CDF" w:rsidRPr="00507671" w:rsidRDefault="009D1CDF" w:rsidP="009D1CDF">
      <w:pPr>
        <w:spacing w:after="0"/>
        <w:jc w:val="both"/>
        <w:rPr>
          <w:rFonts w:ascii="Verdana" w:hAnsi="Verdana"/>
          <w:bCs/>
          <w:sz w:val="20"/>
          <w:szCs w:val="20"/>
        </w:rPr>
      </w:pPr>
      <w:r w:rsidRPr="00507671">
        <w:rPr>
          <w:rFonts w:ascii="Verdana" w:hAnsi="Verdana"/>
          <w:bCs/>
          <w:sz w:val="20"/>
          <w:szCs w:val="20"/>
        </w:rPr>
        <w:t>Para el cálculo de los activos ponderados por nivel de riesgo de crédito, las entidades deben atender a las siguientes instrucciones:</w:t>
      </w:r>
    </w:p>
    <w:p w14:paraId="0C874812" w14:textId="77777777" w:rsidR="009D1CDF" w:rsidRPr="00507671" w:rsidRDefault="009D1CDF" w:rsidP="009D1CDF">
      <w:pPr>
        <w:spacing w:after="0"/>
        <w:jc w:val="both"/>
        <w:rPr>
          <w:rFonts w:ascii="Verdana" w:hAnsi="Verdana"/>
          <w:b/>
          <w:sz w:val="20"/>
          <w:szCs w:val="20"/>
        </w:rPr>
      </w:pPr>
    </w:p>
    <w:p w14:paraId="3CE4A132" w14:textId="56A54B2A" w:rsidR="009D1CDF" w:rsidRPr="00D15165" w:rsidRDefault="009D1CDF" w:rsidP="00D15165">
      <w:pPr>
        <w:pStyle w:val="Prrafodelista"/>
        <w:numPr>
          <w:ilvl w:val="0"/>
          <w:numId w:val="22"/>
        </w:numPr>
        <w:spacing w:after="0"/>
        <w:ind w:left="851" w:hanging="284"/>
        <w:jc w:val="both"/>
        <w:rPr>
          <w:rFonts w:ascii="Verdana" w:hAnsi="Verdana"/>
          <w:b/>
          <w:sz w:val="20"/>
          <w:szCs w:val="20"/>
        </w:rPr>
      </w:pPr>
      <w:r w:rsidRPr="00D15165">
        <w:rPr>
          <w:rFonts w:ascii="Verdana" w:hAnsi="Verdana"/>
          <w:b/>
          <w:sz w:val="20"/>
          <w:szCs w:val="20"/>
        </w:rPr>
        <w:t>Activos con ponderaciones por categorías</w:t>
      </w:r>
    </w:p>
    <w:p w14:paraId="2A08E005" w14:textId="77777777" w:rsidR="009D1CDF" w:rsidRPr="00507671" w:rsidRDefault="009D1CDF" w:rsidP="009D1CDF">
      <w:pPr>
        <w:spacing w:after="0"/>
        <w:jc w:val="both"/>
        <w:rPr>
          <w:rFonts w:ascii="Verdana" w:hAnsi="Verdana"/>
          <w:b/>
          <w:sz w:val="20"/>
          <w:szCs w:val="20"/>
        </w:rPr>
      </w:pPr>
    </w:p>
    <w:p w14:paraId="2E640AC8" w14:textId="7A44FB50" w:rsidR="00073959" w:rsidRDefault="00073959" w:rsidP="00073959">
      <w:pPr>
        <w:spacing w:after="0"/>
        <w:jc w:val="both"/>
        <w:rPr>
          <w:rFonts w:ascii="Verdana" w:hAnsi="Verdana"/>
          <w:sz w:val="20"/>
          <w:szCs w:val="20"/>
        </w:rPr>
      </w:pPr>
      <w:r>
        <w:rPr>
          <w:rFonts w:ascii="Verdana" w:hAnsi="Verdana"/>
          <w:sz w:val="20"/>
          <w:szCs w:val="20"/>
        </w:rPr>
        <w:t>2.5.2</w:t>
      </w:r>
      <w:r w:rsidR="00B11FFD">
        <w:rPr>
          <w:rFonts w:ascii="Verdana" w:hAnsi="Verdana"/>
          <w:sz w:val="20"/>
          <w:szCs w:val="20"/>
        </w:rPr>
        <w:t>7</w:t>
      </w:r>
      <w:r>
        <w:rPr>
          <w:rFonts w:ascii="Verdana" w:hAnsi="Verdana"/>
          <w:sz w:val="20"/>
          <w:szCs w:val="20"/>
        </w:rPr>
        <w:t>.</w:t>
      </w:r>
    </w:p>
    <w:p w14:paraId="3186E607" w14:textId="67B40919" w:rsidR="009D1CDF" w:rsidRPr="00507671" w:rsidRDefault="009D1CDF" w:rsidP="009D1CDF">
      <w:pPr>
        <w:spacing w:after="0"/>
        <w:jc w:val="both"/>
        <w:rPr>
          <w:rFonts w:ascii="Verdana" w:hAnsi="Verdana"/>
          <w:bCs/>
          <w:sz w:val="20"/>
          <w:szCs w:val="20"/>
        </w:rPr>
      </w:pPr>
      <w:r w:rsidRPr="00507671">
        <w:rPr>
          <w:rFonts w:ascii="Verdana" w:hAnsi="Verdana"/>
          <w:bCs/>
          <w:sz w:val="20"/>
          <w:szCs w:val="20"/>
        </w:rPr>
        <w:t>Para la determinación de los porcentajes de ponderación de los activos por nivel de riesgo crediticio, que se incluyen en la siguiente tabla, los holding financieros deben tener en cuenta: (i) la calificación crediticia soberana de largo plazo del país en donde cada subordinada se encuentra domiciliada, otorgada por una agencia calificadora reconocida internacionalmente, y (</w:t>
      </w:r>
      <w:proofErr w:type="spellStart"/>
      <w:r w:rsidRPr="00507671">
        <w:rPr>
          <w:rFonts w:ascii="Verdana" w:hAnsi="Verdana"/>
          <w:bCs/>
          <w:sz w:val="20"/>
          <w:szCs w:val="20"/>
        </w:rPr>
        <w:t>ii</w:t>
      </w:r>
      <w:proofErr w:type="spellEnd"/>
      <w:r w:rsidRPr="00507671">
        <w:rPr>
          <w:rFonts w:ascii="Verdana" w:hAnsi="Verdana"/>
          <w:bCs/>
          <w:sz w:val="20"/>
          <w:szCs w:val="20"/>
        </w:rPr>
        <w:t xml:space="preserve">) la homologación de las referencias por su equivalente en cada país a: Nación, SFC, Banco de la República, </w:t>
      </w:r>
      <w:proofErr w:type="spellStart"/>
      <w:r w:rsidRPr="00507671">
        <w:rPr>
          <w:rFonts w:ascii="Verdana" w:hAnsi="Verdana"/>
          <w:bCs/>
          <w:sz w:val="20"/>
          <w:szCs w:val="20"/>
        </w:rPr>
        <w:t>Fogafín</w:t>
      </w:r>
      <w:proofErr w:type="spellEnd"/>
      <w:r w:rsidRPr="00507671">
        <w:rPr>
          <w:rFonts w:ascii="Verdana" w:hAnsi="Verdana"/>
          <w:bCs/>
          <w:sz w:val="20"/>
          <w:szCs w:val="20"/>
        </w:rPr>
        <w:t xml:space="preserve">, </w:t>
      </w:r>
      <w:proofErr w:type="spellStart"/>
      <w:r w:rsidRPr="00507671">
        <w:rPr>
          <w:rFonts w:ascii="Verdana" w:hAnsi="Verdana"/>
          <w:bCs/>
          <w:sz w:val="20"/>
          <w:szCs w:val="20"/>
        </w:rPr>
        <w:t>Fogacoop</w:t>
      </w:r>
      <w:proofErr w:type="spellEnd"/>
      <w:r w:rsidRPr="00507671">
        <w:rPr>
          <w:rFonts w:ascii="Verdana" w:hAnsi="Verdana"/>
          <w:bCs/>
          <w:sz w:val="20"/>
          <w:szCs w:val="20"/>
        </w:rPr>
        <w:t xml:space="preserve"> y Cámara de Riesgo Central de Contraparte (CRCC). Las referencias a CRCC se podrán homologar siempre que la SFC haya reconocido a la respectiva Entidad de Contrapartida Central Extranjera como equivalente, de conformidad con el listado publicado en la página web de la SFC.</w:t>
      </w:r>
    </w:p>
    <w:p w14:paraId="1F335597" w14:textId="77777777" w:rsidR="009D1CDF" w:rsidRPr="00507671" w:rsidRDefault="009D1CDF" w:rsidP="009D1CDF">
      <w:pPr>
        <w:spacing w:after="0"/>
        <w:jc w:val="both"/>
        <w:rPr>
          <w:rFonts w:ascii="Verdana" w:hAnsi="Verdana"/>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54"/>
        <w:gridCol w:w="1157"/>
        <w:gridCol w:w="1078"/>
        <w:gridCol w:w="950"/>
        <w:gridCol w:w="889"/>
      </w:tblGrid>
      <w:tr w:rsidR="009D1CDF" w:rsidRPr="00507671" w14:paraId="5E5C4E2D" w14:textId="77777777" w:rsidTr="00D15165">
        <w:trPr>
          <w:trHeight w:val="353"/>
          <w:jc w:val="center"/>
        </w:trPr>
        <w:tc>
          <w:tcPr>
            <w:tcW w:w="5216" w:type="dxa"/>
            <w:vMerge w:val="restart"/>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0F673A6E" w14:textId="77777777" w:rsidR="009D1CDF" w:rsidRPr="00D15165" w:rsidRDefault="009D1CDF" w:rsidP="00D15165">
            <w:pPr>
              <w:spacing w:after="0"/>
              <w:jc w:val="center"/>
              <w:rPr>
                <w:rFonts w:ascii="Verdana" w:hAnsi="Verdana"/>
                <w:b/>
                <w:sz w:val="16"/>
                <w:szCs w:val="16"/>
              </w:rPr>
            </w:pPr>
            <w:r w:rsidRPr="00D15165">
              <w:rPr>
                <w:rFonts w:ascii="Verdana" w:hAnsi="Verdana"/>
                <w:b/>
                <w:sz w:val="16"/>
                <w:szCs w:val="16"/>
              </w:rPr>
              <w:t>Activos</w:t>
            </w:r>
          </w:p>
        </w:tc>
        <w:tc>
          <w:tcPr>
            <w:tcW w:w="4179" w:type="dxa"/>
            <w:gridSpan w:val="4"/>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063946C3" w14:textId="77777777" w:rsidR="009D1CDF" w:rsidRPr="00D15165" w:rsidRDefault="009D1CDF" w:rsidP="00D15165">
            <w:pPr>
              <w:spacing w:after="0"/>
              <w:jc w:val="center"/>
              <w:rPr>
                <w:rFonts w:ascii="Verdana" w:hAnsi="Verdana"/>
                <w:b/>
                <w:sz w:val="16"/>
                <w:szCs w:val="16"/>
              </w:rPr>
            </w:pPr>
            <w:r w:rsidRPr="00D15165">
              <w:rPr>
                <w:rFonts w:ascii="Verdana" w:hAnsi="Verdana"/>
                <w:b/>
                <w:sz w:val="16"/>
                <w:szCs w:val="16"/>
              </w:rPr>
              <w:t>Calificación crediticia soberana de largo plazo</w:t>
            </w:r>
          </w:p>
        </w:tc>
      </w:tr>
      <w:tr w:rsidR="009D1CDF" w:rsidRPr="00507671" w14:paraId="012FF102" w14:textId="77777777" w:rsidTr="00D15165">
        <w:trPr>
          <w:trHeight w:val="600"/>
          <w:jc w:val="center"/>
        </w:trPr>
        <w:tc>
          <w:tcPr>
            <w:tcW w:w="0" w:type="auto"/>
            <w:vMerge/>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162FFC0D" w14:textId="77777777" w:rsidR="009D1CDF" w:rsidRPr="00D15165" w:rsidRDefault="009D1CDF" w:rsidP="00D15165">
            <w:pPr>
              <w:spacing w:after="0"/>
              <w:jc w:val="center"/>
              <w:rPr>
                <w:rFonts w:ascii="Verdana" w:hAnsi="Verdana"/>
                <w:b/>
                <w:sz w:val="16"/>
                <w:szCs w:val="16"/>
              </w:rPr>
            </w:pPr>
          </w:p>
        </w:tc>
        <w:tc>
          <w:tcPr>
            <w:tcW w:w="1157"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49E5412F" w14:textId="77777777" w:rsidR="009D1CDF" w:rsidRPr="00D15165" w:rsidRDefault="009D1CDF" w:rsidP="00D15165">
            <w:pPr>
              <w:spacing w:after="0"/>
              <w:jc w:val="center"/>
              <w:rPr>
                <w:rFonts w:ascii="Verdana" w:hAnsi="Verdana"/>
                <w:b/>
                <w:sz w:val="16"/>
                <w:szCs w:val="16"/>
              </w:rPr>
            </w:pPr>
            <w:r w:rsidRPr="00D15165">
              <w:rPr>
                <w:rFonts w:ascii="Verdana" w:hAnsi="Verdana"/>
                <w:b/>
                <w:sz w:val="16"/>
                <w:szCs w:val="16"/>
              </w:rPr>
              <w:t>AAA hasta BBB-</w:t>
            </w:r>
          </w:p>
        </w:tc>
        <w:tc>
          <w:tcPr>
            <w:tcW w:w="1135"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7B028655" w14:textId="77777777" w:rsidR="009D1CDF" w:rsidRPr="00D15165" w:rsidRDefault="009D1CDF" w:rsidP="00D15165">
            <w:pPr>
              <w:spacing w:after="0"/>
              <w:jc w:val="center"/>
              <w:rPr>
                <w:rFonts w:ascii="Verdana" w:hAnsi="Verdana"/>
                <w:b/>
                <w:sz w:val="16"/>
                <w:szCs w:val="16"/>
              </w:rPr>
            </w:pPr>
            <w:r w:rsidRPr="00D15165">
              <w:rPr>
                <w:rFonts w:ascii="Verdana" w:hAnsi="Verdana"/>
                <w:b/>
                <w:sz w:val="16"/>
                <w:szCs w:val="16"/>
              </w:rPr>
              <w:t>BB+ hasta BB-</w:t>
            </w:r>
          </w:p>
        </w:tc>
        <w:tc>
          <w:tcPr>
            <w:tcW w:w="991"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2AE8580D" w14:textId="77777777" w:rsidR="009D1CDF" w:rsidRPr="00D15165" w:rsidRDefault="009D1CDF" w:rsidP="00D15165">
            <w:pPr>
              <w:spacing w:after="0"/>
              <w:jc w:val="center"/>
              <w:rPr>
                <w:rFonts w:ascii="Verdana" w:hAnsi="Verdana"/>
                <w:b/>
                <w:sz w:val="16"/>
                <w:szCs w:val="16"/>
              </w:rPr>
            </w:pPr>
            <w:r w:rsidRPr="00D15165">
              <w:rPr>
                <w:rFonts w:ascii="Verdana" w:hAnsi="Verdana"/>
                <w:b/>
                <w:sz w:val="16"/>
                <w:szCs w:val="16"/>
              </w:rPr>
              <w:t xml:space="preserve">B+ </w:t>
            </w:r>
            <w:r w:rsidRPr="00D15165">
              <w:rPr>
                <w:rFonts w:ascii="Verdana" w:hAnsi="Verdana"/>
                <w:b/>
                <w:sz w:val="16"/>
                <w:szCs w:val="16"/>
              </w:rPr>
              <w:br/>
              <w:t>hasta B-</w:t>
            </w:r>
          </w:p>
        </w:tc>
        <w:tc>
          <w:tcPr>
            <w:tcW w:w="896"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2E86B73A" w14:textId="77777777" w:rsidR="009D1CDF" w:rsidRPr="00D15165" w:rsidRDefault="009D1CDF" w:rsidP="00D15165">
            <w:pPr>
              <w:spacing w:after="0"/>
              <w:jc w:val="center"/>
              <w:rPr>
                <w:rFonts w:ascii="Verdana" w:hAnsi="Verdana"/>
                <w:b/>
                <w:sz w:val="16"/>
                <w:szCs w:val="16"/>
              </w:rPr>
            </w:pPr>
            <w:r w:rsidRPr="00D15165">
              <w:rPr>
                <w:rFonts w:ascii="Verdana" w:hAnsi="Verdana"/>
                <w:b/>
                <w:sz w:val="16"/>
                <w:szCs w:val="16"/>
              </w:rPr>
              <w:t>Inferior a B-</w:t>
            </w:r>
          </w:p>
        </w:tc>
      </w:tr>
      <w:tr w:rsidR="009D1CDF" w:rsidRPr="00507671" w14:paraId="486C36DE" w14:textId="77777777">
        <w:trPr>
          <w:trHeight w:val="264"/>
          <w:jc w:val="center"/>
        </w:trPr>
        <w:tc>
          <w:tcPr>
            <w:tcW w:w="52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3D9166" w14:textId="77777777" w:rsidR="009D1CDF" w:rsidRPr="00D15165" w:rsidRDefault="009D1CDF">
            <w:pPr>
              <w:spacing w:after="0"/>
              <w:jc w:val="both"/>
              <w:rPr>
                <w:rFonts w:ascii="Verdana" w:hAnsi="Verdana"/>
                <w:bCs/>
                <w:sz w:val="16"/>
                <w:szCs w:val="16"/>
              </w:rPr>
            </w:pPr>
            <w:r w:rsidRPr="00D15165">
              <w:rPr>
                <w:rFonts w:ascii="Verdana" w:hAnsi="Verdana"/>
                <w:bCs/>
                <w:sz w:val="16"/>
                <w:szCs w:val="16"/>
              </w:rPr>
              <w:t>Activos con porcentaje de ponderación de cero por ciento (0%).</w:t>
            </w:r>
          </w:p>
        </w:tc>
        <w:tc>
          <w:tcPr>
            <w:tcW w:w="115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FFCE51" w14:textId="77777777" w:rsidR="009D1CDF" w:rsidRPr="00D15165" w:rsidRDefault="009D1CDF" w:rsidP="00027BD5">
            <w:pPr>
              <w:spacing w:after="0"/>
              <w:jc w:val="center"/>
              <w:rPr>
                <w:rFonts w:ascii="Verdana" w:hAnsi="Verdana"/>
                <w:bCs/>
                <w:sz w:val="16"/>
                <w:szCs w:val="16"/>
              </w:rPr>
            </w:pPr>
            <w:r w:rsidRPr="00D15165">
              <w:rPr>
                <w:rFonts w:ascii="Verdana" w:hAnsi="Verdana"/>
                <w:bCs/>
                <w:sz w:val="16"/>
                <w:szCs w:val="16"/>
              </w:rPr>
              <w:t>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9B0415" w14:textId="77777777" w:rsidR="009D1CDF" w:rsidRPr="00D15165" w:rsidRDefault="009D1CDF" w:rsidP="00027BD5">
            <w:pPr>
              <w:spacing w:after="0"/>
              <w:jc w:val="center"/>
              <w:rPr>
                <w:rFonts w:ascii="Verdana" w:hAnsi="Verdana"/>
                <w:bCs/>
                <w:sz w:val="16"/>
                <w:szCs w:val="16"/>
              </w:rPr>
            </w:pPr>
            <w:r w:rsidRPr="00D15165">
              <w:rPr>
                <w:rFonts w:ascii="Verdana" w:hAnsi="Verdana"/>
                <w:bCs/>
                <w:sz w:val="16"/>
                <w:szCs w:val="16"/>
              </w:rPr>
              <w:t>20%</w:t>
            </w:r>
          </w:p>
        </w:tc>
        <w:tc>
          <w:tcPr>
            <w:tcW w:w="99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F8653B" w14:textId="77777777" w:rsidR="009D1CDF" w:rsidRPr="00D15165" w:rsidRDefault="009D1CDF" w:rsidP="00027BD5">
            <w:pPr>
              <w:spacing w:after="0"/>
              <w:jc w:val="center"/>
              <w:rPr>
                <w:rFonts w:ascii="Verdana" w:hAnsi="Verdana"/>
                <w:bCs/>
                <w:sz w:val="16"/>
                <w:szCs w:val="16"/>
              </w:rPr>
            </w:pPr>
            <w:r w:rsidRPr="00D15165">
              <w:rPr>
                <w:rFonts w:ascii="Verdana" w:hAnsi="Verdana"/>
                <w:bCs/>
                <w:sz w:val="16"/>
                <w:szCs w:val="16"/>
              </w:rPr>
              <w:t>50%</w:t>
            </w:r>
          </w:p>
        </w:tc>
        <w:tc>
          <w:tcPr>
            <w:tcW w:w="8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506CD7" w14:textId="77777777" w:rsidR="009D1CDF" w:rsidRPr="00D15165" w:rsidRDefault="009D1CDF" w:rsidP="00027BD5">
            <w:pPr>
              <w:spacing w:after="0"/>
              <w:jc w:val="center"/>
              <w:rPr>
                <w:rFonts w:ascii="Verdana" w:hAnsi="Verdana"/>
                <w:bCs/>
                <w:sz w:val="16"/>
                <w:szCs w:val="16"/>
              </w:rPr>
            </w:pPr>
            <w:r w:rsidRPr="00D15165">
              <w:rPr>
                <w:rFonts w:ascii="Verdana" w:hAnsi="Verdana"/>
                <w:bCs/>
                <w:sz w:val="16"/>
                <w:szCs w:val="16"/>
              </w:rPr>
              <w:t>100%</w:t>
            </w:r>
          </w:p>
        </w:tc>
      </w:tr>
      <w:tr w:rsidR="009D1CDF" w:rsidRPr="00507671" w14:paraId="3297C0C0" w14:textId="77777777">
        <w:trPr>
          <w:trHeight w:val="528"/>
          <w:jc w:val="center"/>
        </w:trPr>
        <w:tc>
          <w:tcPr>
            <w:tcW w:w="52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81B66A" w14:textId="77777777" w:rsidR="009D1CDF" w:rsidRPr="00D15165" w:rsidRDefault="009D1CDF">
            <w:pPr>
              <w:spacing w:after="0"/>
              <w:jc w:val="both"/>
              <w:rPr>
                <w:rFonts w:ascii="Verdana" w:hAnsi="Verdana"/>
                <w:bCs/>
                <w:sz w:val="16"/>
                <w:szCs w:val="16"/>
              </w:rPr>
            </w:pPr>
            <w:r w:rsidRPr="00D15165">
              <w:rPr>
                <w:rFonts w:ascii="Verdana" w:hAnsi="Verdana"/>
                <w:bCs/>
                <w:sz w:val="16"/>
                <w:szCs w:val="16"/>
              </w:rPr>
              <w:t>Activos con porcentaje de ponderación del veinte por ciento (20%).</w:t>
            </w:r>
          </w:p>
        </w:tc>
        <w:tc>
          <w:tcPr>
            <w:tcW w:w="11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40038E" w14:textId="77777777" w:rsidR="009D1CDF" w:rsidRPr="00D15165" w:rsidRDefault="009D1CDF" w:rsidP="00027BD5">
            <w:pPr>
              <w:spacing w:after="0"/>
              <w:jc w:val="center"/>
              <w:rPr>
                <w:rFonts w:ascii="Verdana" w:hAnsi="Verdana"/>
                <w:bCs/>
                <w:sz w:val="16"/>
                <w:szCs w:val="16"/>
              </w:rPr>
            </w:pPr>
            <w:r w:rsidRPr="00D15165">
              <w:rPr>
                <w:rFonts w:ascii="Verdana" w:hAnsi="Verdana"/>
                <w:bCs/>
                <w:sz w:val="16"/>
                <w:szCs w:val="16"/>
              </w:rPr>
              <w:t>20%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D552F2" w14:textId="77777777" w:rsidR="009D1CDF" w:rsidRPr="00D15165" w:rsidRDefault="009D1CDF" w:rsidP="00027BD5">
            <w:pPr>
              <w:spacing w:after="0"/>
              <w:jc w:val="center"/>
              <w:rPr>
                <w:rFonts w:ascii="Verdana" w:hAnsi="Verdana"/>
                <w:bCs/>
                <w:sz w:val="16"/>
                <w:szCs w:val="16"/>
              </w:rPr>
            </w:pPr>
            <w:r w:rsidRPr="00D15165">
              <w:rPr>
                <w:rFonts w:ascii="Verdana" w:hAnsi="Verdana"/>
                <w:bCs/>
                <w:sz w:val="16"/>
                <w:szCs w:val="16"/>
              </w:rPr>
              <w:t>50%</w:t>
            </w:r>
          </w:p>
        </w:tc>
        <w:tc>
          <w:tcPr>
            <w:tcW w:w="188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DC117D" w14:textId="77777777" w:rsidR="009D1CDF" w:rsidRPr="00D15165" w:rsidRDefault="009D1CDF" w:rsidP="00027BD5">
            <w:pPr>
              <w:spacing w:after="0"/>
              <w:jc w:val="center"/>
              <w:rPr>
                <w:rFonts w:ascii="Verdana" w:hAnsi="Verdana"/>
                <w:bCs/>
                <w:sz w:val="16"/>
                <w:szCs w:val="16"/>
              </w:rPr>
            </w:pPr>
            <w:r w:rsidRPr="00D15165">
              <w:rPr>
                <w:rFonts w:ascii="Verdana" w:hAnsi="Verdana"/>
                <w:bCs/>
                <w:sz w:val="16"/>
                <w:szCs w:val="16"/>
              </w:rPr>
              <w:t>100%</w:t>
            </w:r>
          </w:p>
        </w:tc>
      </w:tr>
      <w:tr w:rsidR="009D1CDF" w:rsidRPr="00507671" w14:paraId="4977086C" w14:textId="77777777">
        <w:trPr>
          <w:trHeight w:val="792"/>
          <w:jc w:val="center"/>
        </w:trPr>
        <w:tc>
          <w:tcPr>
            <w:tcW w:w="52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CA6583" w14:textId="77777777" w:rsidR="009D1CDF" w:rsidRPr="00D15165" w:rsidRDefault="009D1CDF">
            <w:pPr>
              <w:spacing w:after="0"/>
              <w:jc w:val="both"/>
              <w:rPr>
                <w:rFonts w:ascii="Verdana" w:hAnsi="Verdana"/>
                <w:bCs/>
                <w:sz w:val="16"/>
                <w:szCs w:val="16"/>
              </w:rPr>
            </w:pPr>
            <w:r w:rsidRPr="00D15165">
              <w:rPr>
                <w:rFonts w:ascii="Verdana" w:hAnsi="Verdana"/>
                <w:bCs/>
                <w:sz w:val="16"/>
                <w:szCs w:val="16"/>
              </w:rPr>
              <w:t xml:space="preserve">Las acciones listadas en bolsas de valores o sistemas de negociación de valores de las entidades vigiladas, fondos mutuos de inversión controlados por la SFC o una entidad financiera del exterior que cuenten con altos estándares de gobierno corporativo, mecanismos que garanticen su liquidez y cuenten con calificación entre A+ a </w:t>
            </w:r>
            <w:proofErr w:type="spellStart"/>
            <w:r w:rsidRPr="00D15165">
              <w:rPr>
                <w:rFonts w:ascii="Verdana" w:hAnsi="Verdana"/>
                <w:bCs/>
                <w:sz w:val="16"/>
                <w:szCs w:val="16"/>
              </w:rPr>
              <w:t>A</w:t>
            </w:r>
            <w:proofErr w:type="spellEnd"/>
            <w:r w:rsidRPr="00D15165">
              <w:rPr>
                <w:rFonts w:ascii="Verdana" w:hAnsi="Verdana"/>
                <w:bCs/>
                <w:sz w:val="16"/>
                <w:szCs w:val="16"/>
              </w:rPr>
              <w:t>-, otorgada por parte de una sociedad calificadora autorizada por la SFC o una calificación de riesgo internacional equivalente.</w:t>
            </w:r>
          </w:p>
        </w:tc>
        <w:tc>
          <w:tcPr>
            <w:tcW w:w="11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A50B50" w14:textId="77777777" w:rsidR="009D1CDF" w:rsidRPr="00D15165" w:rsidRDefault="009D1CDF" w:rsidP="00027BD5">
            <w:pPr>
              <w:spacing w:after="0"/>
              <w:jc w:val="center"/>
              <w:rPr>
                <w:rFonts w:ascii="Verdana" w:hAnsi="Verdana"/>
                <w:bCs/>
                <w:sz w:val="16"/>
                <w:szCs w:val="16"/>
              </w:rPr>
            </w:pPr>
            <w:r w:rsidRPr="00D15165">
              <w:rPr>
                <w:rFonts w:ascii="Verdana" w:hAnsi="Verdana"/>
                <w:bCs/>
                <w:sz w:val="16"/>
                <w:szCs w:val="16"/>
              </w:rPr>
              <w:t>30%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AFC2CC" w14:textId="77777777" w:rsidR="009D1CDF" w:rsidRPr="00D15165" w:rsidRDefault="009D1CDF" w:rsidP="00027BD5">
            <w:pPr>
              <w:spacing w:after="0"/>
              <w:jc w:val="center"/>
              <w:rPr>
                <w:rFonts w:ascii="Verdana" w:hAnsi="Verdana"/>
                <w:bCs/>
                <w:sz w:val="16"/>
                <w:szCs w:val="16"/>
              </w:rPr>
            </w:pPr>
            <w:r w:rsidRPr="00D15165">
              <w:rPr>
                <w:rFonts w:ascii="Verdana" w:hAnsi="Verdana"/>
                <w:bCs/>
                <w:sz w:val="16"/>
                <w:szCs w:val="16"/>
              </w:rPr>
              <w:t>50%</w:t>
            </w:r>
          </w:p>
        </w:tc>
        <w:tc>
          <w:tcPr>
            <w:tcW w:w="188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0D0E892" w14:textId="77777777" w:rsidR="009D1CDF" w:rsidRPr="00D15165" w:rsidRDefault="009D1CDF" w:rsidP="00027BD5">
            <w:pPr>
              <w:spacing w:after="0"/>
              <w:jc w:val="center"/>
              <w:rPr>
                <w:rFonts w:ascii="Verdana" w:hAnsi="Verdana"/>
                <w:bCs/>
                <w:sz w:val="16"/>
                <w:szCs w:val="16"/>
              </w:rPr>
            </w:pPr>
            <w:r w:rsidRPr="00D15165">
              <w:rPr>
                <w:rFonts w:ascii="Verdana" w:hAnsi="Verdana"/>
                <w:bCs/>
                <w:sz w:val="16"/>
                <w:szCs w:val="16"/>
              </w:rPr>
              <w:t>100%</w:t>
            </w:r>
          </w:p>
        </w:tc>
      </w:tr>
      <w:tr w:rsidR="009D1CDF" w:rsidRPr="00507671" w14:paraId="4BC75091" w14:textId="77777777">
        <w:trPr>
          <w:trHeight w:val="445"/>
          <w:jc w:val="center"/>
        </w:trPr>
        <w:tc>
          <w:tcPr>
            <w:tcW w:w="52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8AF9D6" w14:textId="77777777" w:rsidR="009D1CDF" w:rsidRPr="00D15165" w:rsidRDefault="009D1CDF">
            <w:pPr>
              <w:spacing w:after="0"/>
              <w:jc w:val="both"/>
              <w:rPr>
                <w:rFonts w:ascii="Verdana" w:hAnsi="Verdana"/>
                <w:bCs/>
                <w:sz w:val="16"/>
                <w:szCs w:val="16"/>
              </w:rPr>
            </w:pPr>
            <w:r w:rsidRPr="00D15165">
              <w:rPr>
                <w:rFonts w:ascii="Verdana" w:hAnsi="Verdana"/>
                <w:bCs/>
                <w:sz w:val="16"/>
                <w:szCs w:val="16"/>
              </w:rPr>
              <w:t>Activos con porcentaje de ponderación del cincuenta por ciento (50%).</w:t>
            </w:r>
          </w:p>
        </w:tc>
        <w:tc>
          <w:tcPr>
            <w:tcW w:w="11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9F8871" w14:textId="77777777" w:rsidR="009D1CDF" w:rsidRPr="00D15165" w:rsidRDefault="009D1CDF" w:rsidP="00027BD5">
            <w:pPr>
              <w:spacing w:after="0"/>
              <w:jc w:val="center"/>
              <w:rPr>
                <w:rFonts w:ascii="Verdana" w:hAnsi="Verdana"/>
                <w:bCs/>
                <w:sz w:val="16"/>
                <w:szCs w:val="16"/>
              </w:rPr>
            </w:pPr>
            <w:r w:rsidRPr="00D15165">
              <w:rPr>
                <w:rFonts w:ascii="Verdana" w:hAnsi="Verdana"/>
                <w:bCs/>
                <w:sz w:val="16"/>
                <w:szCs w:val="16"/>
              </w:rPr>
              <w:t>50%</w:t>
            </w:r>
          </w:p>
        </w:tc>
        <w:tc>
          <w:tcPr>
            <w:tcW w:w="302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F424114" w14:textId="77777777" w:rsidR="009D1CDF" w:rsidRPr="00D15165" w:rsidRDefault="009D1CDF" w:rsidP="00027BD5">
            <w:pPr>
              <w:spacing w:after="0"/>
              <w:jc w:val="center"/>
              <w:rPr>
                <w:rFonts w:ascii="Verdana" w:hAnsi="Verdana"/>
                <w:bCs/>
                <w:sz w:val="16"/>
                <w:szCs w:val="16"/>
              </w:rPr>
            </w:pPr>
            <w:r w:rsidRPr="00D15165">
              <w:rPr>
                <w:rFonts w:ascii="Verdana" w:hAnsi="Verdana"/>
                <w:bCs/>
                <w:sz w:val="16"/>
                <w:szCs w:val="16"/>
              </w:rPr>
              <w:t>100%</w:t>
            </w:r>
          </w:p>
        </w:tc>
      </w:tr>
      <w:tr w:rsidR="009D1CDF" w:rsidRPr="00507671" w14:paraId="1ECB1BF4" w14:textId="77777777">
        <w:trPr>
          <w:trHeight w:val="296"/>
          <w:jc w:val="center"/>
        </w:trPr>
        <w:tc>
          <w:tcPr>
            <w:tcW w:w="5216" w:type="dxa"/>
            <w:tcBorders>
              <w:top w:val="single" w:sz="4" w:space="0" w:color="auto"/>
              <w:left w:val="single" w:sz="4" w:space="0" w:color="auto"/>
              <w:bottom w:val="single" w:sz="4" w:space="0" w:color="auto"/>
              <w:right w:val="single" w:sz="4" w:space="0" w:color="auto"/>
            </w:tcBorders>
            <w:vAlign w:val="center"/>
            <w:hideMark/>
          </w:tcPr>
          <w:p w14:paraId="386A9C46" w14:textId="38966C59" w:rsidR="009D1CDF" w:rsidRPr="00D15165" w:rsidRDefault="009D1CDF">
            <w:pPr>
              <w:spacing w:after="0"/>
              <w:jc w:val="both"/>
              <w:rPr>
                <w:rFonts w:ascii="Verdana" w:hAnsi="Verdana"/>
                <w:bCs/>
                <w:sz w:val="16"/>
                <w:szCs w:val="16"/>
              </w:rPr>
            </w:pPr>
            <w:r w:rsidRPr="00D15165">
              <w:rPr>
                <w:rFonts w:ascii="Verdana" w:hAnsi="Verdana"/>
                <w:bCs/>
                <w:sz w:val="16"/>
                <w:szCs w:val="16"/>
              </w:rPr>
              <w:t xml:space="preserve">Las acciones listadas en bolsas de valores o sistemas de negociación de valores con calificación diferente a las establecidas en los </w:t>
            </w:r>
            <w:r w:rsidR="00EE45B5" w:rsidRPr="00F03AA5">
              <w:rPr>
                <w:rFonts w:ascii="Verdana" w:hAnsi="Verdana"/>
                <w:bCs/>
                <w:sz w:val="16"/>
                <w:szCs w:val="16"/>
              </w:rPr>
              <w:t xml:space="preserve">párrafos </w:t>
            </w:r>
            <w:r w:rsidRPr="00F03AA5">
              <w:rPr>
                <w:rFonts w:ascii="Verdana" w:hAnsi="Verdana"/>
                <w:bCs/>
                <w:sz w:val="16"/>
                <w:szCs w:val="16"/>
              </w:rPr>
              <w:t>anteriores</w:t>
            </w:r>
            <w:r w:rsidR="00BD0BD3">
              <w:rPr>
                <w:rFonts w:ascii="Verdana" w:hAnsi="Verdana"/>
                <w:bCs/>
                <w:sz w:val="16"/>
                <w:szCs w:val="16"/>
              </w:rPr>
              <w:t>,</w:t>
            </w:r>
            <w:r w:rsidR="00F03AA5">
              <w:rPr>
                <w:rFonts w:ascii="Verdana" w:hAnsi="Verdana"/>
                <w:bCs/>
                <w:sz w:val="16"/>
                <w:szCs w:val="16"/>
              </w:rPr>
              <w:t xml:space="preserve"> de la presente tabla</w:t>
            </w:r>
            <w:r w:rsidR="00BD0BD3">
              <w:rPr>
                <w:rFonts w:ascii="Verdana" w:hAnsi="Verdana"/>
                <w:bCs/>
                <w:sz w:val="16"/>
                <w:szCs w:val="16"/>
              </w:rPr>
              <w:t>,</w:t>
            </w:r>
            <w:r w:rsidRPr="00D15165">
              <w:rPr>
                <w:rFonts w:ascii="Verdana" w:hAnsi="Verdana"/>
                <w:bCs/>
                <w:sz w:val="16"/>
                <w:szCs w:val="16"/>
              </w:rPr>
              <w:t xml:space="preserve"> ponderarán al 50% incluidas las acciones en grandes empresas calificadas en A+ a </w:t>
            </w:r>
            <w:proofErr w:type="spellStart"/>
            <w:r w:rsidRPr="00D15165">
              <w:rPr>
                <w:rFonts w:ascii="Verdana" w:hAnsi="Verdana"/>
                <w:bCs/>
                <w:sz w:val="16"/>
                <w:szCs w:val="16"/>
              </w:rPr>
              <w:t>A</w:t>
            </w:r>
            <w:proofErr w:type="spellEnd"/>
            <w:r w:rsidRPr="00D15165">
              <w:rPr>
                <w:rFonts w:ascii="Verdana" w:hAnsi="Verdana"/>
                <w:bCs/>
                <w:sz w:val="16"/>
                <w:szCs w:val="16"/>
              </w:rPr>
              <w:t>-.</w:t>
            </w:r>
          </w:p>
        </w:tc>
        <w:tc>
          <w:tcPr>
            <w:tcW w:w="11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F9FBD9" w14:textId="77777777" w:rsidR="009D1CDF" w:rsidRPr="00D15165" w:rsidRDefault="009D1CDF" w:rsidP="00027BD5">
            <w:pPr>
              <w:spacing w:after="0"/>
              <w:jc w:val="center"/>
              <w:rPr>
                <w:rFonts w:ascii="Verdana" w:hAnsi="Verdana"/>
                <w:bCs/>
                <w:sz w:val="16"/>
                <w:szCs w:val="16"/>
              </w:rPr>
            </w:pPr>
            <w:r w:rsidRPr="00D15165">
              <w:rPr>
                <w:rFonts w:ascii="Verdana" w:hAnsi="Verdana"/>
                <w:bCs/>
                <w:sz w:val="16"/>
                <w:szCs w:val="16"/>
              </w:rPr>
              <w:t>50%</w:t>
            </w:r>
          </w:p>
        </w:tc>
        <w:tc>
          <w:tcPr>
            <w:tcW w:w="302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D3FAC8B" w14:textId="77777777" w:rsidR="009D1CDF" w:rsidRPr="00D15165" w:rsidRDefault="009D1CDF" w:rsidP="00027BD5">
            <w:pPr>
              <w:spacing w:after="0"/>
              <w:jc w:val="center"/>
              <w:rPr>
                <w:rFonts w:ascii="Verdana" w:hAnsi="Verdana"/>
                <w:bCs/>
                <w:sz w:val="16"/>
                <w:szCs w:val="16"/>
              </w:rPr>
            </w:pPr>
            <w:r w:rsidRPr="00D15165">
              <w:rPr>
                <w:rFonts w:ascii="Verdana" w:hAnsi="Verdana"/>
                <w:bCs/>
                <w:sz w:val="16"/>
                <w:szCs w:val="16"/>
              </w:rPr>
              <w:t>100%</w:t>
            </w:r>
          </w:p>
        </w:tc>
      </w:tr>
      <w:tr w:rsidR="009D1CDF" w:rsidRPr="00507671" w14:paraId="1CDE186D" w14:textId="77777777">
        <w:trPr>
          <w:trHeight w:val="296"/>
          <w:jc w:val="center"/>
        </w:trPr>
        <w:tc>
          <w:tcPr>
            <w:tcW w:w="5216" w:type="dxa"/>
            <w:tcBorders>
              <w:top w:val="single" w:sz="4" w:space="0" w:color="auto"/>
              <w:left w:val="single" w:sz="4" w:space="0" w:color="auto"/>
              <w:bottom w:val="single" w:sz="4" w:space="0" w:color="auto"/>
              <w:right w:val="single" w:sz="4" w:space="0" w:color="auto"/>
            </w:tcBorders>
            <w:vAlign w:val="center"/>
            <w:hideMark/>
          </w:tcPr>
          <w:p w14:paraId="70FC0FBE" w14:textId="77777777" w:rsidR="009D1CDF" w:rsidRPr="00D15165" w:rsidRDefault="009D1CDF">
            <w:pPr>
              <w:spacing w:after="0"/>
              <w:jc w:val="both"/>
              <w:rPr>
                <w:rFonts w:ascii="Verdana" w:hAnsi="Verdana"/>
                <w:bCs/>
                <w:sz w:val="16"/>
                <w:szCs w:val="16"/>
              </w:rPr>
            </w:pPr>
            <w:r w:rsidRPr="00D15165">
              <w:rPr>
                <w:rFonts w:ascii="Verdana" w:hAnsi="Verdana"/>
                <w:bCs/>
                <w:sz w:val="16"/>
                <w:szCs w:val="16"/>
              </w:rPr>
              <w:t>Activos con porcentaje de ponderación del cien por ciento (100%).</w:t>
            </w:r>
          </w:p>
        </w:tc>
        <w:tc>
          <w:tcPr>
            <w:tcW w:w="4179"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0F4DD65" w14:textId="77777777" w:rsidR="009D1CDF" w:rsidRPr="00D15165" w:rsidRDefault="009D1CDF" w:rsidP="00027BD5">
            <w:pPr>
              <w:spacing w:after="0"/>
              <w:jc w:val="center"/>
              <w:rPr>
                <w:rFonts w:ascii="Verdana" w:hAnsi="Verdana"/>
                <w:bCs/>
                <w:sz w:val="16"/>
                <w:szCs w:val="16"/>
              </w:rPr>
            </w:pPr>
            <w:r w:rsidRPr="00D15165">
              <w:rPr>
                <w:rFonts w:ascii="Verdana" w:hAnsi="Verdana"/>
                <w:bCs/>
                <w:sz w:val="16"/>
                <w:szCs w:val="16"/>
              </w:rPr>
              <w:t>100%</w:t>
            </w:r>
          </w:p>
        </w:tc>
      </w:tr>
    </w:tbl>
    <w:p w14:paraId="0F5BD1F0" w14:textId="77777777" w:rsidR="009D1CDF" w:rsidRPr="00507671" w:rsidRDefault="009D1CDF" w:rsidP="009D1CDF">
      <w:pPr>
        <w:spacing w:after="0"/>
        <w:jc w:val="both"/>
        <w:rPr>
          <w:rFonts w:ascii="Verdana" w:hAnsi="Verdana"/>
          <w:bCs/>
          <w:sz w:val="20"/>
          <w:szCs w:val="20"/>
        </w:rPr>
      </w:pPr>
    </w:p>
    <w:p w14:paraId="7FC164AA" w14:textId="5B08C042" w:rsidR="00073959" w:rsidRDefault="00073959" w:rsidP="00073959">
      <w:pPr>
        <w:spacing w:after="0"/>
        <w:jc w:val="both"/>
        <w:rPr>
          <w:rFonts w:ascii="Verdana" w:hAnsi="Verdana"/>
          <w:sz w:val="20"/>
          <w:szCs w:val="20"/>
        </w:rPr>
      </w:pPr>
      <w:r>
        <w:rPr>
          <w:rFonts w:ascii="Verdana" w:hAnsi="Verdana"/>
          <w:sz w:val="20"/>
          <w:szCs w:val="20"/>
        </w:rPr>
        <w:t>2.5.2</w:t>
      </w:r>
      <w:r w:rsidR="00B11FFD">
        <w:rPr>
          <w:rFonts w:ascii="Verdana" w:hAnsi="Verdana"/>
          <w:sz w:val="20"/>
          <w:szCs w:val="20"/>
        </w:rPr>
        <w:t>8</w:t>
      </w:r>
      <w:r>
        <w:rPr>
          <w:rFonts w:ascii="Verdana" w:hAnsi="Verdana"/>
          <w:sz w:val="20"/>
          <w:szCs w:val="20"/>
        </w:rPr>
        <w:t>.</w:t>
      </w:r>
    </w:p>
    <w:p w14:paraId="50918A7A" w14:textId="77777777" w:rsidR="009D1CDF" w:rsidRPr="00507671" w:rsidRDefault="009D1CDF" w:rsidP="009D1CDF">
      <w:pPr>
        <w:spacing w:after="0"/>
        <w:jc w:val="both"/>
        <w:rPr>
          <w:rFonts w:ascii="Verdana" w:hAnsi="Verdana"/>
          <w:bCs/>
          <w:sz w:val="20"/>
          <w:szCs w:val="20"/>
        </w:rPr>
      </w:pPr>
      <w:r w:rsidRPr="00507671">
        <w:rPr>
          <w:rFonts w:ascii="Verdana" w:hAnsi="Verdana"/>
          <w:bCs/>
          <w:sz w:val="20"/>
          <w:szCs w:val="20"/>
        </w:rPr>
        <w:t>Adicionalmente, en los casos en que se hace referencia a las calificadoras autorizadas por la SFC, se entenderán como tales las calificadoras internacionalmente reconocidas.</w:t>
      </w:r>
    </w:p>
    <w:p w14:paraId="7A7A3D30" w14:textId="77777777" w:rsidR="009D1CDF" w:rsidRPr="00507671" w:rsidRDefault="009D1CDF" w:rsidP="009D1CDF">
      <w:pPr>
        <w:spacing w:after="0"/>
        <w:jc w:val="both"/>
        <w:rPr>
          <w:rFonts w:ascii="Verdana" w:hAnsi="Verdana"/>
          <w:bCs/>
          <w:sz w:val="20"/>
          <w:szCs w:val="20"/>
        </w:rPr>
      </w:pPr>
    </w:p>
    <w:p w14:paraId="03C9B53E" w14:textId="2A6CEE82" w:rsidR="00073959" w:rsidRDefault="00073959" w:rsidP="00073959">
      <w:pPr>
        <w:spacing w:after="0"/>
        <w:jc w:val="both"/>
        <w:rPr>
          <w:rFonts w:ascii="Verdana" w:hAnsi="Verdana"/>
          <w:sz w:val="20"/>
          <w:szCs w:val="20"/>
        </w:rPr>
      </w:pPr>
      <w:r>
        <w:rPr>
          <w:rFonts w:ascii="Verdana" w:hAnsi="Verdana"/>
          <w:sz w:val="20"/>
          <w:szCs w:val="20"/>
        </w:rPr>
        <w:t>2.5.</w:t>
      </w:r>
      <w:r w:rsidR="00B11FFD">
        <w:rPr>
          <w:rFonts w:ascii="Verdana" w:hAnsi="Verdana"/>
          <w:sz w:val="20"/>
          <w:szCs w:val="20"/>
        </w:rPr>
        <w:t>29</w:t>
      </w:r>
      <w:r>
        <w:rPr>
          <w:rFonts w:ascii="Verdana" w:hAnsi="Verdana"/>
          <w:sz w:val="20"/>
          <w:szCs w:val="20"/>
        </w:rPr>
        <w:t>.</w:t>
      </w:r>
    </w:p>
    <w:p w14:paraId="3E8A5698" w14:textId="77777777" w:rsidR="009D1CDF" w:rsidRPr="00507671" w:rsidRDefault="009D1CDF" w:rsidP="009D1CDF">
      <w:pPr>
        <w:spacing w:after="0"/>
        <w:jc w:val="both"/>
        <w:rPr>
          <w:rFonts w:ascii="Verdana" w:hAnsi="Verdana"/>
          <w:bCs/>
          <w:sz w:val="20"/>
          <w:szCs w:val="20"/>
        </w:rPr>
      </w:pPr>
      <w:r w:rsidRPr="00507671">
        <w:rPr>
          <w:rFonts w:ascii="Verdana" w:hAnsi="Verdana"/>
          <w:bCs/>
          <w:sz w:val="20"/>
          <w:szCs w:val="20"/>
        </w:rPr>
        <w:t>Para la aplicación de los ponderadores definidos en la tabla anterior, las entidades deben tener en cuenta la tabla de equivalencias entre códigos de las diferentes agencias calificadoras publicada por la SFC en su página Web, o la equivalente en cada jurisdicción. En los casos en que exista más de una calificación vigente y ponderaciones por riesgos diferentes, se debe utilizar la de mayor riesgo.</w:t>
      </w:r>
    </w:p>
    <w:p w14:paraId="26E5556B" w14:textId="77777777" w:rsidR="009D1CDF" w:rsidRDefault="009D1CDF" w:rsidP="009D1CDF">
      <w:pPr>
        <w:spacing w:after="0"/>
        <w:jc w:val="both"/>
        <w:rPr>
          <w:rFonts w:ascii="Verdana" w:hAnsi="Verdana"/>
          <w:b/>
          <w:sz w:val="20"/>
          <w:szCs w:val="20"/>
        </w:rPr>
      </w:pPr>
    </w:p>
    <w:p w14:paraId="6D85D86A" w14:textId="77777777" w:rsidR="00D15165" w:rsidRDefault="00D15165" w:rsidP="009D1CDF">
      <w:pPr>
        <w:spacing w:after="0"/>
        <w:jc w:val="both"/>
        <w:rPr>
          <w:rFonts w:ascii="Verdana" w:hAnsi="Verdana"/>
          <w:b/>
          <w:sz w:val="20"/>
          <w:szCs w:val="20"/>
        </w:rPr>
      </w:pPr>
    </w:p>
    <w:p w14:paraId="38ED376B" w14:textId="77777777" w:rsidR="00D15165" w:rsidRDefault="00D15165" w:rsidP="009D1CDF">
      <w:pPr>
        <w:spacing w:after="0"/>
        <w:jc w:val="both"/>
        <w:rPr>
          <w:rFonts w:ascii="Verdana" w:hAnsi="Verdana"/>
          <w:b/>
          <w:sz w:val="20"/>
          <w:szCs w:val="20"/>
        </w:rPr>
      </w:pPr>
    </w:p>
    <w:p w14:paraId="275EC145" w14:textId="77777777" w:rsidR="00D15165" w:rsidRPr="00D15165" w:rsidRDefault="00D15165" w:rsidP="009D1CDF">
      <w:pPr>
        <w:spacing w:after="0"/>
        <w:jc w:val="both"/>
        <w:rPr>
          <w:rFonts w:ascii="Verdana" w:hAnsi="Verdana"/>
          <w:b/>
          <w:sz w:val="20"/>
          <w:szCs w:val="20"/>
        </w:rPr>
      </w:pPr>
    </w:p>
    <w:p w14:paraId="741B83EB" w14:textId="4D28CA00" w:rsidR="00D15165" w:rsidRDefault="009D1CDF" w:rsidP="00073959">
      <w:pPr>
        <w:pStyle w:val="Prrafodelista"/>
        <w:numPr>
          <w:ilvl w:val="0"/>
          <w:numId w:val="22"/>
        </w:numPr>
        <w:spacing w:after="0"/>
        <w:ind w:left="851" w:hanging="284"/>
        <w:jc w:val="both"/>
        <w:rPr>
          <w:rFonts w:ascii="Verdana" w:hAnsi="Verdana"/>
          <w:b/>
          <w:sz w:val="20"/>
          <w:szCs w:val="20"/>
        </w:rPr>
      </w:pPr>
      <w:r w:rsidRPr="00D15165">
        <w:rPr>
          <w:rFonts w:ascii="Verdana" w:hAnsi="Verdana"/>
          <w:b/>
          <w:sz w:val="20"/>
          <w:szCs w:val="20"/>
        </w:rPr>
        <w:lastRenderedPageBreak/>
        <w:t>Otros activos</w:t>
      </w:r>
    </w:p>
    <w:p w14:paraId="64F97A24" w14:textId="77777777" w:rsidR="00D15165" w:rsidRPr="000C2AB0" w:rsidRDefault="00D15165" w:rsidP="000C2AB0">
      <w:pPr>
        <w:spacing w:after="0"/>
        <w:jc w:val="both"/>
        <w:rPr>
          <w:rFonts w:ascii="Verdana" w:hAnsi="Verdana"/>
          <w:sz w:val="20"/>
          <w:szCs w:val="20"/>
        </w:rPr>
      </w:pPr>
    </w:p>
    <w:p w14:paraId="7E796CB7" w14:textId="0ED4666C" w:rsidR="00073959" w:rsidRDefault="00073959" w:rsidP="00073959">
      <w:pPr>
        <w:spacing w:after="0"/>
        <w:jc w:val="both"/>
        <w:rPr>
          <w:rFonts w:ascii="Verdana" w:hAnsi="Verdana"/>
          <w:sz w:val="20"/>
          <w:szCs w:val="20"/>
        </w:rPr>
      </w:pPr>
      <w:r>
        <w:rPr>
          <w:rFonts w:ascii="Verdana" w:hAnsi="Verdana"/>
          <w:sz w:val="20"/>
          <w:szCs w:val="20"/>
        </w:rPr>
        <w:t>2.5.</w:t>
      </w:r>
      <w:r w:rsidR="00DA5FB8">
        <w:rPr>
          <w:rFonts w:ascii="Verdana" w:hAnsi="Verdana"/>
          <w:sz w:val="20"/>
          <w:szCs w:val="20"/>
        </w:rPr>
        <w:t>3</w:t>
      </w:r>
      <w:r w:rsidR="00B11FFD">
        <w:rPr>
          <w:rFonts w:ascii="Verdana" w:hAnsi="Verdana"/>
          <w:sz w:val="20"/>
          <w:szCs w:val="20"/>
        </w:rPr>
        <w:t>0</w:t>
      </w:r>
      <w:r>
        <w:rPr>
          <w:rFonts w:ascii="Verdana" w:hAnsi="Verdana"/>
          <w:sz w:val="20"/>
          <w:szCs w:val="20"/>
        </w:rPr>
        <w:t>.</w:t>
      </w:r>
    </w:p>
    <w:p w14:paraId="2E2133CB" w14:textId="77777777" w:rsidR="00673C8C" w:rsidRDefault="009D1CDF" w:rsidP="00673C8C">
      <w:pPr>
        <w:spacing w:after="0"/>
        <w:jc w:val="both"/>
        <w:rPr>
          <w:rFonts w:ascii="Verdana" w:hAnsi="Verdana"/>
          <w:bCs/>
          <w:sz w:val="20"/>
          <w:szCs w:val="20"/>
        </w:rPr>
      </w:pPr>
      <w:r w:rsidRPr="00507671">
        <w:rPr>
          <w:rFonts w:ascii="Verdana" w:hAnsi="Verdana"/>
          <w:bCs/>
          <w:sz w:val="20"/>
          <w:szCs w:val="20"/>
        </w:rPr>
        <w:t>Para los demás activos de las subordinadas en el exterior a los que se refieren los artículos 2.5.3.1.10, 2.6.1.1.10 y 2.9.1.1.11 del Decreto 2555 de 2010, se deben aplicar las siguientes instrucciones:</w:t>
      </w:r>
    </w:p>
    <w:p w14:paraId="29DED00A" w14:textId="77777777" w:rsidR="00D15165" w:rsidRDefault="00D15165" w:rsidP="00D15165">
      <w:pPr>
        <w:spacing w:after="0"/>
        <w:jc w:val="both"/>
        <w:rPr>
          <w:rFonts w:ascii="Verdana" w:hAnsi="Verdana"/>
          <w:bCs/>
          <w:sz w:val="20"/>
          <w:szCs w:val="20"/>
        </w:rPr>
      </w:pPr>
    </w:p>
    <w:p w14:paraId="20E9F48F" w14:textId="77777777" w:rsidR="00D15165" w:rsidRDefault="009D1CDF" w:rsidP="00D15165">
      <w:pPr>
        <w:pStyle w:val="Prrafodelista"/>
        <w:numPr>
          <w:ilvl w:val="4"/>
          <w:numId w:val="2"/>
        </w:numPr>
        <w:spacing w:after="0"/>
        <w:ind w:left="567" w:hanging="567"/>
        <w:jc w:val="both"/>
        <w:rPr>
          <w:rFonts w:ascii="Verdana" w:hAnsi="Verdana"/>
          <w:bCs/>
          <w:sz w:val="20"/>
          <w:szCs w:val="20"/>
        </w:rPr>
      </w:pPr>
      <w:r w:rsidRPr="00D15165">
        <w:rPr>
          <w:rFonts w:ascii="Verdana" w:hAnsi="Verdana"/>
          <w:bCs/>
          <w:sz w:val="20"/>
          <w:szCs w:val="20"/>
        </w:rPr>
        <w:t>Se deben utilizar las calificadoras internacionalmente reconocidas.</w:t>
      </w:r>
    </w:p>
    <w:p w14:paraId="11955364" w14:textId="77777777" w:rsidR="00D15165" w:rsidRDefault="00D15165" w:rsidP="00D15165">
      <w:pPr>
        <w:pStyle w:val="Prrafodelista"/>
        <w:spacing w:after="0"/>
        <w:ind w:left="567"/>
        <w:jc w:val="both"/>
        <w:rPr>
          <w:rFonts w:ascii="Verdana" w:hAnsi="Verdana"/>
          <w:bCs/>
          <w:sz w:val="20"/>
          <w:szCs w:val="20"/>
        </w:rPr>
      </w:pPr>
    </w:p>
    <w:p w14:paraId="6BD79256" w14:textId="77777777" w:rsidR="00D15165" w:rsidRDefault="009D1CDF" w:rsidP="00D15165">
      <w:pPr>
        <w:pStyle w:val="Prrafodelista"/>
        <w:numPr>
          <w:ilvl w:val="4"/>
          <w:numId w:val="2"/>
        </w:numPr>
        <w:spacing w:after="0"/>
        <w:ind w:left="567" w:hanging="567"/>
        <w:jc w:val="both"/>
        <w:rPr>
          <w:rFonts w:ascii="Verdana" w:hAnsi="Verdana"/>
          <w:bCs/>
          <w:sz w:val="20"/>
          <w:szCs w:val="20"/>
        </w:rPr>
      </w:pPr>
      <w:r w:rsidRPr="00D15165">
        <w:rPr>
          <w:rFonts w:ascii="Verdana" w:hAnsi="Verdana"/>
          <w:bCs/>
          <w:sz w:val="20"/>
          <w:szCs w:val="20"/>
        </w:rPr>
        <w:t>Se deben homologar las referencias a: Nación, SFC, Banco de la República, Fondo de Garantías de Instituciones Financieras (</w:t>
      </w:r>
      <w:proofErr w:type="spellStart"/>
      <w:r w:rsidRPr="00D15165">
        <w:rPr>
          <w:rFonts w:ascii="Verdana" w:hAnsi="Verdana"/>
          <w:bCs/>
          <w:sz w:val="20"/>
          <w:szCs w:val="20"/>
        </w:rPr>
        <w:t>Fogafín</w:t>
      </w:r>
      <w:proofErr w:type="spellEnd"/>
      <w:r w:rsidRPr="00D15165">
        <w:rPr>
          <w:rFonts w:ascii="Verdana" w:hAnsi="Verdana"/>
          <w:bCs/>
          <w:sz w:val="20"/>
          <w:szCs w:val="20"/>
        </w:rPr>
        <w:t>), Fondo de Garantías de Entidades Cooperativas (</w:t>
      </w:r>
      <w:proofErr w:type="spellStart"/>
      <w:r w:rsidRPr="00D15165">
        <w:rPr>
          <w:rFonts w:ascii="Verdana" w:hAnsi="Verdana"/>
          <w:bCs/>
          <w:sz w:val="20"/>
          <w:szCs w:val="20"/>
        </w:rPr>
        <w:t>Fogacoop</w:t>
      </w:r>
      <w:proofErr w:type="spellEnd"/>
      <w:r w:rsidRPr="00D15165">
        <w:rPr>
          <w:rFonts w:ascii="Verdana" w:hAnsi="Verdana"/>
          <w:bCs/>
          <w:sz w:val="20"/>
          <w:szCs w:val="20"/>
        </w:rPr>
        <w:t>) y Cámara de Riesgo Central de Contraparte (CRCC) por su equivalente en el país correspondiente. Las referencias a CRCC se homologarán siempre que la SFC haya reconocido a la respectiva Entidad de Contrapartida Central Extranjera como equivalente, de conformidad con el listado publicado en la página web de la SFC.</w:t>
      </w:r>
    </w:p>
    <w:p w14:paraId="4815CCDA" w14:textId="77777777" w:rsidR="00D15165" w:rsidRPr="00D15165" w:rsidRDefault="00D15165" w:rsidP="00D15165">
      <w:pPr>
        <w:pStyle w:val="Prrafodelista"/>
        <w:rPr>
          <w:rFonts w:ascii="Verdana" w:hAnsi="Verdana"/>
          <w:bCs/>
          <w:sz w:val="20"/>
          <w:szCs w:val="20"/>
        </w:rPr>
      </w:pPr>
    </w:p>
    <w:p w14:paraId="621CD7AF" w14:textId="77777777" w:rsidR="00D15165" w:rsidRDefault="009D1CDF" w:rsidP="00D15165">
      <w:pPr>
        <w:pStyle w:val="Prrafodelista"/>
        <w:numPr>
          <w:ilvl w:val="4"/>
          <w:numId w:val="2"/>
        </w:numPr>
        <w:spacing w:after="0"/>
        <w:ind w:left="567" w:hanging="567"/>
        <w:jc w:val="both"/>
        <w:rPr>
          <w:rFonts w:ascii="Verdana" w:hAnsi="Verdana"/>
          <w:bCs/>
          <w:sz w:val="20"/>
          <w:szCs w:val="20"/>
        </w:rPr>
      </w:pPr>
      <w:r w:rsidRPr="00D15165">
        <w:rPr>
          <w:rFonts w:ascii="Verdana" w:hAnsi="Verdana"/>
          <w:bCs/>
          <w:sz w:val="20"/>
          <w:szCs w:val="20"/>
        </w:rPr>
        <w:t>Tratándose de países con calificación soberana de largo plazo en la categoría grado de inversión se debe utilizar la escala de ponderación de riesgo asignada a la contraparte en la escala de calificación establecida en el artículo 2.5.3.1.10, 2.6.1.1.10 y 2.9.1.1.11 del Decreto 2555 de 2010.</w:t>
      </w:r>
    </w:p>
    <w:p w14:paraId="078B389B" w14:textId="77777777" w:rsidR="00D15165" w:rsidRPr="00D15165" w:rsidRDefault="00D15165" w:rsidP="00D15165">
      <w:pPr>
        <w:pStyle w:val="Prrafodelista"/>
        <w:rPr>
          <w:rFonts w:ascii="Verdana" w:hAnsi="Verdana"/>
          <w:bCs/>
          <w:sz w:val="20"/>
          <w:szCs w:val="20"/>
        </w:rPr>
      </w:pPr>
    </w:p>
    <w:p w14:paraId="58C229FB" w14:textId="3264EA8D" w:rsidR="009D1CDF" w:rsidRPr="00D15165" w:rsidRDefault="009D1CDF" w:rsidP="009D1CDF">
      <w:pPr>
        <w:pStyle w:val="Prrafodelista"/>
        <w:numPr>
          <w:ilvl w:val="4"/>
          <w:numId w:val="2"/>
        </w:numPr>
        <w:spacing w:after="0"/>
        <w:ind w:left="567" w:hanging="567"/>
        <w:jc w:val="both"/>
        <w:rPr>
          <w:rFonts w:ascii="Verdana" w:hAnsi="Verdana"/>
          <w:bCs/>
          <w:sz w:val="20"/>
          <w:szCs w:val="20"/>
        </w:rPr>
      </w:pPr>
      <w:r w:rsidRPr="00D15165">
        <w:rPr>
          <w:rFonts w:ascii="Verdana" w:hAnsi="Verdana"/>
          <w:bCs/>
          <w:sz w:val="20"/>
          <w:szCs w:val="20"/>
        </w:rPr>
        <w:t>Tratándose de países con calificación soberana de largo plazo entre BB+ y B- se debe utilizar la ponderación de riesgo deteriorando una escala de ponderación de la que resulte aplicable a la contraparte, de conformidad con el artículo 2.5.3.1.10, 2.6.1.1.10 y 2.9.1.1.11 del Decreto 2555 de 2010. A continuación, se presenta una ilustración de cómo sería el caso en el que una contraparte estuviera calificada por riesgo en AAA.</w:t>
      </w:r>
    </w:p>
    <w:p w14:paraId="2BD168C4" w14:textId="77777777" w:rsidR="009D1CDF" w:rsidRPr="00507671" w:rsidRDefault="009D1CDF" w:rsidP="009D1CDF">
      <w:pPr>
        <w:spacing w:after="0"/>
        <w:jc w:val="both"/>
        <w:rPr>
          <w:rFonts w:ascii="Verdana" w:hAnsi="Verdana"/>
          <w:bCs/>
          <w:sz w:val="20"/>
          <w:szCs w:val="20"/>
        </w:rPr>
      </w:pPr>
      <w:r w:rsidRPr="00507671">
        <w:rPr>
          <w:rFonts w:ascii="Verdana" w:hAnsi="Verdana"/>
          <w:noProof/>
          <w:sz w:val="20"/>
          <w:szCs w:val="20"/>
        </w:rPr>
        <mc:AlternateContent>
          <mc:Choice Requires="wps">
            <w:drawing>
              <wp:anchor distT="0" distB="0" distL="114300" distR="114300" simplePos="0" relativeHeight="251658240" behindDoc="0" locked="0" layoutInCell="1" allowOverlap="1" wp14:anchorId="175CA56D" wp14:editId="58431100">
                <wp:simplePos x="0" y="0"/>
                <wp:positionH relativeFrom="column">
                  <wp:posOffset>3189605</wp:posOffset>
                </wp:positionH>
                <wp:positionV relativeFrom="paragraph">
                  <wp:posOffset>86360</wp:posOffset>
                </wp:positionV>
                <wp:extent cx="1707515" cy="195580"/>
                <wp:effectExtent l="0" t="0" r="26035" b="13970"/>
                <wp:wrapNone/>
                <wp:docPr id="856968273" name="Cuadro de texto 4"/>
                <wp:cNvGraphicFramePr/>
                <a:graphic xmlns:a="http://schemas.openxmlformats.org/drawingml/2006/main">
                  <a:graphicData uri="http://schemas.microsoft.com/office/word/2010/wordprocessingShape">
                    <wps:wsp>
                      <wps:cNvSpPr txBox="1"/>
                      <wps:spPr>
                        <a:xfrm>
                          <a:off x="0" y="0"/>
                          <a:ext cx="1707515" cy="195580"/>
                        </a:xfrm>
                        <a:prstGeom prst="rect">
                          <a:avLst/>
                        </a:prstGeom>
                        <a:noFill/>
                        <a:ln w="6350">
                          <a:solidFill>
                            <a:schemeClr val="bg1"/>
                          </a:solidFill>
                        </a:ln>
                      </wps:spPr>
                      <wps:txbx>
                        <w:txbxContent>
                          <w:p w14:paraId="05757EC8" w14:textId="77777777" w:rsidR="009D1CDF" w:rsidRDefault="009D1CDF" w:rsidP="009D1CDF">
                            <w:pPr>
                              <w:rPr>
                                <w:rFonts w:ascii="Arial" w:hAnsi="Arial" w:cs="Arial"/>
                                <w:sz w:val="12"/>
                                <w:szCs w:val="18"/>
                              </w:rPr>
                            </w:pPr>
                            <w:r>
                              <w:rPr>
                                <w:rFonts w:ascii="Arial" w:hAnsi="Arial" w:cs="Arial"/>
                                <w:sz w:val="12"/>
                                <w:szCs w:val="18"/>
                              </w:rPr>
                              <w:t>Deterioro de 1 escala de ponderación</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5CA56D" id="_x0000_t202" coordsize="21600,21600" o:spt="202" path="m,l,21600r21600,l21600,xe">
                <v:stroke joinstyle="miter"/>
                <v:path gradientshapeok="t" o:connecttype="rect"/>
              </v:shapetype>
              <v:shape id="Cuadro de texto 4" o:spid="_x0000_s1026" type="#_x0000_t202" style="position:absolute;left:0;text-align:left;margin-left:251.15pt;margin-top:6.8pt;width:134.45pt;height:1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" filled="f" strokecolor="white [3212]" strokeweight=".5pt">
                <v:textbox>
                  <w:txbxContent>
                    <w:p w14:paraId="05757EC8" w14:textId="77777777" w:rsidR="009D1CDF" w:rsidRDefault="009D1CDF" w:rsidP="009D1CDF">
                      <w:pPr>
                        <w:rPr>
                          <w:rFonts w:ascii="Arial" w:hAnsi="Arial" w:cs="Arial"/>
                          <w:sz w:val="12"/>
                          <w:szCs w:val="18"/>
                        </w:rPr>
                      </w:pPr>
                      <w:r>
                        <w:rPr>
                          <w:rFonts w:ascii="Arial" w:hAnsi="Arial" w:cs="Arial"/>
                          <w:sz w:val="12"/>
                          <w:szCs w:val="18"/>
                        </w:rPr>
                        <w:t>Deterioro de 1 escala de ponderación</w:t>
                      </w:r>
                    </w:p>
                  </w:txbxContent>
                </v:textbox>
              </v:shape>
            </w:pict>
          </mc:Fallback>
        </mc:AlternateContent>
      </w:r>
      <w:r w:rsidRPr="00507671">
        <w:rPr>
          <w:rFonts w:ascii="Verdana" w:hAnsi="Verdana"/>
          <w:noProof/>
          <w:sz w:val="20"/>
          <w:szCs w:val="20"/>
        </w:rPr>
        <mc:AlternateContent>
          <mc:Choice Requires="wps">
            <w:drawing>
              <wp:anchor distT="0" distB="0" distL="114300" distR="114300" simplePos="0" relativeHeight="251658241" behindDoc="0" locked="0" layoutInCell="1" allowOverlap="1" wp14:anchorId="1FF01501" wp14:editId="58627F55">
                <wp:simplePos x="0" y="0"/>
                <wp:positionH relativeFrom="column">
                  <wp:posOffset>3079115</wp:posOffset>
                </wp:positionH>
                <wp:positionV relativeFrom="paragraph">
                  <wp:posOffset>281940</wp:posOffset>
                </wp:positionV>
                <wp:extent cx="1739900" cy="113665"/>
                <wp:effectExtent l="0" t="0" r="0" b="38735"/>
                <wp:wrapNone/>
                <wp:docPr id="1410629179" name="Flecha: curvada hacia abajo 3"/>
                <wp:cNvGraphicFramePr/>
                <a:graphic xmlns:a="http://schemas.openxmlformats.org/drawingml/2006/main">
                  <a:graphicData uri="http://schemas.microsoft.com/office/word/2010/wordprocessingShape">
                    <wps:wsp>
                      <wps:cNvSpPr/>
                      <wps:spPr>
                        <a:xfrm>
                          <a:off x="0" y="0"/>
                          <a:ext cx="1739265" cy="113030"/>
                        </a:xfrm>
                        <a:prstGeom prst="curvedDownArrow">
                          <a:avLst>
                            <a:gd name="adj1" fmla="val 9837"/>
                            <a:gd name="adj2" fmla="val 50000"/>
                            <a:gd name="adj3" fmla="val 25000"/>
                          </a:avLst>
                        </a:prstGeom>
                        <a:solidFill>
                          <a:schemeClr val="tx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4436330D">
              <v:shapetype id="_x0000_t105" coordsize="21600,21600" o:spt="105" adj="12960,19440,14400" path="wr,0@3@23,0@22@4,0@15,0@1@23@7,0@13@2l@14@2@8@22@12@2at,0@3@23@11@2@17@26@15,0@1@23@17@26@15@22xewr,0@3@23@4,0@17@26nfe" w14:anchorId="2D6ADAC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textboxrect="@45,@47,@46,@48" o:connecttype="custom" o:connectlocs="@17,0;@16,@22;@12,@2;@8,@22;@14,@2" o:connectangles="270,90,90,90,0" o:extrusionok="f"/>
                <v:handles>
                  <v:h position="#0,bottomRight" xrange="@40,@29"/>
                  <v:h position="#1,bottomRight" xrange="@27,@21"/>
                  <v:h position="bottomRight,#2" yrange="@44,@22"/>
                </v:handles>
                <o:complex v:ext="view"/>
              </v:shapetype>
              <v:shape id="Flecha: curvada hacia abajo 3" style="position:absolute;margin-left:242.45pt;margin-top:22.2pt;width:137pt;height:8.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13]" strokecolor="black [3213]" strokeweight=".25pt" type="#_x0000_t105" adj="20898,21318,1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"/>
            </w:pict>
          </mc:Fallback>
        </mc:AlternateContent>
      </w:r>
    </w:p>
    <w:p w14:paraId="1BACE4DF" w14:textId="77777777" w:rsidR="009D1CDF" w:rsidRPr="00507671" w:rsidRDefault="009D1CDF" w:rsidP="009D1CDF">
      <w:pPr>
        <w:spacing w:after="0"/>
        <w:jc w:val="both"/>
        <w:rPr>
          <w:rFonts w:ascii="Verdana" w:hAnsi="Verdana"/>
          <w:bCs/>
          <w:sz w:val="20"/>
          <w:szCs w:val="20"/>
        </w:rPr>
      </w:pPr>
    </w:p>
    <w:p w14:paraId="52D5054B" w14:textId="77777777" w:rsidR="009D1CDF" w:rsidRPr="00507671" w:rsidRDefault="009D1CDF" w:rsidP="009D1CDF">
      <w:pPr>
        <w:spacing w:after="0"/>
        <w:jc w:val="both"/>
        <w:rPr>
          <w:rFonts w:ascii="Verdana" w:hAnsi="Verdana"/>
          <w:bCs/>
          <w:sz w:val="20"/>
          <w:szCs w:val="20"/>
        </w:rPr>
      </w:pPr>
    </w:p>
    <w:tbl>
      <w:tblPr>
        <w:tblStyle w:val="Tablaconcuadrcula"/>
        <w:tblW w:w="0" w:type="auto"/>
        <w:tblInd w:w="846" w:type="dxa"/>
        <w:tblLook w:val="04A0" w:firstRow="1" w:lastRow="0" w:firstColumn="1" w:lastColumn="0" w:noHBand="0" w:noVBand="1"/>
      </w:tblPr>
      <w:tblGrid>
        <w:gridCol w:w="2525"/>
        <w:gridCol w:w="3012"/>
        <w:gridCol w:w="2401"/>
      </w:tblGrid>
      <w:tr w:rsidR="009D1CDF" w:rsidRPr="00507671" w14:paraId="0BEDAD3A" w14:textId="77777777">
        <w:tc>
          <w:tcPr>
            <w:tcW w:w="2525"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5138F69F" w14:textId="77777777" w:rsidR="009D1CDF" w:rsidRPr="00D15165" w:rsidRDefault="009D1CDF" w:rsidP="00D15165">
            <w:pPr>
              <w:spacing w:line="259" w:lineRule="auto"/>
              <w:jc w:val="center"/>
              <w:rPr>
                <w:rFonts w:ascii="Verdana" w:hAnsi="Verdana"/>
                <w:b/>
                <w:sz w:val="16"/>
                <w:szCs w:val="16"/>
              </w:rPr>
            </w:pPr>
            <w:r w:rsidRPr="00D15165">
              <w:rPr>
                <w:rFonts w:ascii="Verdana" w:hAnsi="Verdana"/>
                <w:b/>
                <w:sz w:val="16"/>
                <w:szCs w:val="16"/>
              </w:rPr>
              <w:t>Calificación de riesgo de la contraparte</w:t>
            </w:r>
          </w:p>
        </w:tc>
        <w:tc>
          <w:tcPr>
            <w:tcW w:w="301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115A0C94" w14:textId="4C7584B9" w:rsidR="009D1CDF" w:rsidRPr="00D15165" w:rsidRDefault="009D1CDF" w:rsidP="00D15165">
            <w:pPr>
              <w:spacing w:line="259" w:lineRule="auto"/>
              <w:jc w:val="center"/>
              <w:rPr>
                <w:rFonts w:ascii="Verdana" w:hAnsi="Verdana"/>
                <w:b/>
                <w:sz w:val="16"/>
                <w:szCs w:val="16"/>
              </w:rPr>
            </w:pPr>
            <w:r w:rsidRPr="00D15165">
              <w:rPr>
                <w:rFonts w:ascii="Verdana" w:hAnsi="Verdana"/>
                <w:b/>
                <w:sz w:val="16"/>
                <w:szCs w:val="16"/>
              </w:rPr>
              <w:t>AAA</w:t>
            </w:r>
          </w:p>
          <w:p w14:paraId="46A142F0" w14:textId="77777777" w:rsidR="009D1CDF" w:rsidRPr="00D15165" w:rsidRDefault="009D1CDF" w:rsidP="00D15165">
            <w:pPr>
              <w:spacing w:line="259" w:lineRule="auto"/>
              <w:jc w:val="center"/>
              <w:rPr>
                <w:rFonts w:ascii="Verdana" w:hAnsi="Verdana"/>
                <w:b/>
                <w:sz w:val="16"/>
                <w:szCs w:val="16"/>
              </w:rPr>
            </w:pPr>
            <w:r w:rsidRPr="00D15165">
              <w:rPr>
                <w:rFonts w:ascii="Verdana" w:hAnsi="Verdana"/>
                <w:b/>
                <w:sz w:val="16"/>
                <w:szCs w:val="16"/>
              </w:rPr>
              <w:t>a AA-</w:t>
            </w:r>
          </w:p>
        </w:tc>
        <w:tc>
          <w:tcPr>
            <w:tcW w:w="2401"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3391BB5E" w14:textId="77777777" w:rsidR="009D1CDF" w:rsidRPr="00D15165" w:rsidRDefault="009D1CDF" w:rsidP="00D15165">
            <w:pPr>
              <w:spacing w:line="259" w:lineRule="auto"/>
              <w:jc w:val="center"/>
              <w:rPr>
                <w:rFonts w:ascii="Verdana" w:hAnsi="Verdana"/>
                <w:b/>
                <w:sz w:val="16"/>
                <w:szCs w:val="16"/>
              </w:rPr>
            </w:pPr>
            <w:r w:rsidRPr="00D15165">
              <w:rPr>
                <w:rFonts w:ascii="Verdana" w:hAnsi="Verdana"/>
                <w:b/>
                <w:sz w:val="16"/>
                <w:szCs w:val="16"/>
              </w:rPr>
              <w:t>A+</w:t>
            </w:r>
          </w:p>
          <w:p w14:paraId="78CDD83E" w14:textId="77777777" w:rsidR="009D1CDF" w:rsidRPr="00D15165" w:rsidRDefault="009D1CDF" w:rsidP="00D15165">
            <w:pPr>
              <w:spacing w:line="259" w:lineRule="auto"/>
              <w:jc w:val="center"/>
              <w:rPr>
                <w:rFonts w:ascii="Verdana" w:hAnsi="Verdana"/>
                <w:b/>
                <w:sz w:val="16"/>
                <w:szCs w:val="16"/>
              </w:rPr>
            </w:pPr>
            <w:r w:rsidRPr="00D15165">
              <w:rPr>
                <w:rFonts w:ascii="Verdana" w:hAnsi="Verdana"/>
                <w:b/>
                <w:sz w:val="16"/>
                <w:szCs w:val="16"/>
              </w:rPr>
              <w:t xml:space="preserve">a </w:t>
            </w:r>
            <w:proofErr w:type="spellStart"/>
            <w:r w:rsidRPr="00D15165">
              <w:rPr>
                <w:rFonts w:ascii="Verdana" w:hAnsi="Verdana"/>
                <w:b/>
                <w:sz w:val="16"/>
                <w:szCs w:val="16"/>
              </w:rPr>
              <w:t>A</w:t>
            </w:r>
            <w:proofErr w:type="spellEnd"/>
            <w:r w:rsidRPr="00D15165">
              <w:rPr>
                <w:rFonts w:ascii="Verdana" w:hAnsi="Verdana"/>
                <w:b/>
                <w:sz w:val="16"/>
                <w:szCs w:val="16"/>
              </w:rPr>
              <w:t>-</w:t>
            </w:r>
          </w:p>
        </w:tc>
      </w:tr>
      <w:tr w:rsidR="009D1CDF" w:rsidRPr="00507671" w14:paraId="6AA0C014" w14:textId="77777777">
        <w:tc>
          <w:tcPr>
            <w:tcW w:w="2525" w:type="dxa"/>
            <w:tcBorders>
              <w:top w:val="single" w:sz="4" w:space="0" w:color="auto"/>
              <w:left w:val="single" w:sz="4" w:space="0" w:color="auto"/>
              <w:bottom w:val="single" w:sz="4" w:space="0" w:color="auto"/>
              <w:right w:val="single" w:sz="4" w:space="0" w:color="auto"/>
            </w:tcBorders>
          </w:tcPr>
          <w:p w14:paraId="381B305C" w14:textId="77777777" w:rsidR="009D1CDF" w:rsidRPr="00D15165" w:rsidRDefault="009D1CDF">
            <w:pPr>
              <w:spacing w:line="259" w:lineRule="auto"/>
              <w:jc w:val="both"/>
              <w:rPr>
                <w:rFonts w:ascii="Verdana" w:hAnsi="Verdana"/>
                <w:bCs/>
                <w:sz w:val="16"/>
                <w:szCs w:val="16"/>
              </w:rPr>
            </w:pPr>
          </w:p>
          <w:p w14:paraId="061B0C4C" w14:textId="77777777" w:rsidR="009D1CDF" w:rsidRPr="00D15165" w:rsidRDefault="009D1CDF">
            <w:pPr>
              <w:spacing w:line="259" w:lineRule="auto"/>
              <w:jc w:val="both"/>
              <w:rPr>
                <w:rFonts w:ascii="Verdana" w:hAnsi="Verdana"/>
                <w:bCs/>
                <w:sz w:val="16"/>
                <w:szCs w:val="16"/>
              </w:rPr>
            </w:pPr>
            <w:r w:rsidRPr="00D15165">
              <w:rPr>
                <w:rFonts w:ascii="Verdana" w:hAnsi="Verdana"/>
                <w:bCs/>
                <w:sz w:val="16"/>
                <w:szCs w:val="16"/>
              </w:rPr>
              <w:t>Ponderación</w:t>
            </w:r>
          </w:p>
        </w:tc>
        <w:tc>
          <w:tcPr>
            <w:tcW w:w="3012" w:type="dxa"/>
            <w:tcBorders>
              <w:top w:val="single" w:sz="4" w:space="0" w:color="auto"/>
              <w:left w:val="single" w:sz="4" w:space="0" w:color="auto"/>
              <w:bottom w:val="single" w:sz="4" w:space="0" w:color="auto"/>
              <w:right w:val="single" w:sz="4" w:space="0" w:color="auto"/>
            </w:tcBorders>
          </w:tcPr>
          <w:p w14:paraId="56B36F0A" w14:textId="77777777" w:rsidR="009D1CDF" w:rsidRPr="00D15165" w:rsidRDefault="009D1CDF">
            <w:pPr>
              <w:spacing w:line="259" w:lineRule="auto"/>
              <w:jc w:val="both"/>
              <w:rPr>
                <w:rFonts w:ascii="Verdana" w:hAnsi="Verdana"/>
                <w:bCs/>
                <w:sz w:val="16"/>
                <w:szCs w:val="16"/>
              </w:rPr>
            </w:pPr>
          </w:p>
          <w:p w14:paraId="3CB7ABA6" w14:textId="77777777" w:rsidR="009D1CDF" w:rsidRPr="00D15165" w:rsidRDefault="009D1CDF">
            <w:pPr>
              <w:spacing w:line="259" w:lineRule="auto"/>
              <w:jc w:val="both"/>
              <w:rPr>
                <w:rFonts w:ascii="Verdana" w:hAnsi="Verdana"/>
                <w:bCs/>
                <w:sz w:val="16"/>
                <w:szCs w:val="16"/>
              </w:rPr>
            </w:pPr>
            <w:r w:rsidRPr="00D15165">
              <w:rPr>
                <w:rFonts w:ascii="Verdana" w:hAnsi="Verdana"/>
                <w:bCs/>
                <w:sz w:val="16"/>
                <w:szCs w:val="16"/>
              </w:rPr>
              <w:t>Ponderación inicial del emisor</w:t>
            </w:r>
          </w:p>
        </w:tc>
        <w:tc>
          <w:tcPr>
            <w:tcW w:w="2401" w:type="dxa"/>
            <w:tcBorders>
              <w:top w:val="single" w:sz="4" w:space="0" w:color="auto"/>
              <w:left w:val="single" w:sz="4" w:space="0" w:color="auto"/>
              <w:bottom w:val="single" w:sz="4" w:space="0" w:color="auto"/>
              <w:right w:val="single" w:sz="4" w:space="0" w:color="auto"/>
            </w:tcBorders>
            <w:hideMark/>
          </w:tcPr>
          <w:p w14:paraId="6D40D10D" w14:textId="77777777" w:rsidR="009D1CDF" w:rsidRPr="00D15165" w:rsidRDefault="009D1CDF">
            <w:pPr>
              <w:spacing w:line="259" w:lineRule="auto"/>
              <w:jc w:val="both"/>
              <w:rPr>
                <w:rFonts w:ascii="Verdana" w:hAnsi="Verdana"/>
                <w:bCs/>
                <w:sz w:val="16"/>
                <w:szCs w:val="16"/>
              </w:rPr>
            </w:pPr>
            <w:r w:rsidRPr="00D15165">
              <w:rPr>
                <w:rFonts w:ascii="Verdana" w:hAnsi="Verdana"/>
                <w:bCs/>
                <w:sz w:val="16"/>
                <w:szCs w:val="16"/>
              </w:rPr>
              <w:t>Ponderación que se debe utilizar después de aplicar el deterioro</w:t>
            </w:r>
          </w:p>
        </w:tc>
      </w:tr>
    </w:tbl>
    <w:p w14:paraId="33F5AFE2" w14:textId="77777777" w:rsidR="009D1CDF" w:rsidRPr="00507671" w:rsidRDefault="009D1CDF" w:rsidP="009D1CDF">
      <w:pPr>
        <w:spacing w:after="0"/>
        <w:jc w:val="both"/>
        <w:rPr>
          <w:rFonts w:ascii="Verdana" w:hAnsi="Verdana"/>
          <w:bCs/>
          <w:sz w:val="20"/>
          <w:szCs w:val="20"/>
        </w:rPr>
      </w:pPr>
    </w:p>
    <w:p w14:paraId="5DE01822" w14:textId="77777777" w:rsidR="00D15165" w:rsidRDefault="009D1CDF" w:rsidP="005333CB">
      <w:pPr>
        <w:pStyle w:val="Prrafodelista"/>
        <w:numPr>
          <w:ilvl w:val="4"/>
          <w:numId w:val="2"/>
        </w:numPr>
        <w:spacing w:after="0"/>
        <w:ind w:left="567" w:hanging="567"/>
        <w:jc w:val="both"/>
        <w:rPr>
          <w:rFonts w:ascii="Verdana" w:hAnsi="Verdana"/>
          <w:bCs/>
          <w:sz w:val="20"/>
          <w:szCs w:val="20"/>
        </w:rPr>
      </w:pPr>
      <w:r w:rsidRPr="00D15165">
        <w:rPr>
          <w:rFonts w:ascii="Verdana" w:hAnsi="Verdana"/>
          <w:bCs/>
          <w:sz w:val="20"/>
          <w:szCs w:val="20"/>
        </w:rPr>
        <w:t>Tratándose de países con calificación soberana de largo plazo en la categoría menor a B- y hasta CCC se debe utilizar la ponderación de riesgo deteriorando dos escalas de ponderación de la que resulte aplicable a la contraparte, de conformidad con el artículo 2.5.3.1.10, 2.6.1.1.10 y 2.9.1.1.11 del Decreto 2555 de 2010.</w:t>
      </w:r>
    </w:p>
    <w:p w14:paraId="25F58C8E" w14:textId="77777777" w:rsidR="00D15165" w:rsidRDefault="00D15165" w:rsidP="00D15165">
      <w:pPr>
        <w:pStyle w:val="Prrafodelista"/>
        <w:spacing w:after="0"/>
        <w:ind w:left="567"/>
        <w:jc w:val="both"/>
        <w:rPr>
          <w:rFonts w:ascii="Verdana" w:hAnsi="Verdana"/>
          <w:bCs/>
          <w:sz w:val="20"/>
          <w:szCs w:val="20"/>
        </w:rPr>
      </w:pPr>
    </w:p>
    <w:p w14:paraId="297570D6" w14:textId="65667078" w:rsidR="009D1CDF" w:rsidRPr="00D15165" w:rsidRDefault="009D1CDF" w:rsidP="005333CB">
      <w:pPr>
        <w:pStyle w:val="Prrafodelista"/>
        <w:numPr>
          <w:ilvl w:val="4"/>
          <w:numId w:val="2"/>
        </w:numPr>
        <w:spacing w:after="0"/>
        <w:ind w:left="567" w:hanging="567"/>
        <w:jc w:val="both"/>
        <w:rPr>
          <w:rFonts w:ascii="Verdana" w:hAnsi="Verdana"/>
          <w:bCs/>
          <w:sz w:val="20"/>
          <w:szCs w:val="20"/>
        </w:rPr>
      </w:pPr>
      <w:r w:rsidRPr="00D15165">
        <w:rPr>
          <w:rFonts w:ascii="Verdana" w:hAnsi="Verdana"/>
          <w:bCs/>
          <w:sz w:val="20"/>
          <w:szCs w:val="20"/>
        </w:rPr>
        <w:t>Tratándose de países con calificación soberana de largo plazo menor a C se debe utilizar la ponderación de riesgo deteriorando tres escalas de ponderación de la que resulte aplicable a la contraparte, de conformidad con el artículo 2.5.3.1.10, 2.6.1.1.10 y 2.9.1.1.11 del Decreto 2555 de 2010.</w:t>
      </w:r>
    </w:p>
    <w:p w14:paraId="19768ED9" w14:textId="77777777" w:rsidR="009D1CDF" w:rsidRPr="00507671" w:rsidRDefault="009D1CDF" w:rsidP="009D1CDF">
      <w:pPr>
        <w:spacing w:after="0"/>
        <w:jc w:val="both"/>
        <w:rPr>
          <w:rFonts w:ascii="Verdana" w:hAnsi="Verdana"/>
          <w:b/>
          <w:sz w:val="20"/>
          <w:szCs w:val="20"/>
        </w:rPr>
      </w:pPr>
    </w:p>
    <w:p w14:paraId="6CD1FCFD" w14:textId="4BE84BED" w:rsidR="00073959" w:rsidRDefault="00073959" w:rsidP="00073959">
      <w:pPr>
        <w:spacing w:after="0"/>
        <w:jc w:val="both"/>
        <w:rPr>
          <w:rFonts w:ascii="Verdana" w:hAnsi="Verdana"/>
          <w:sz w:val="20"/>
          <w:szCs w:val="20"/>
        </w:rPr>
      </w:pPr>
      <w:r>
        <w:rPr>
          <w:rFonts w:ascii="Verdana" w:hAnsi="Verdana"/>
          <w:sz w:val="20"/>
          <w:szCs w:val="20"/>
        </w:rPr>
        <w:t>2.5.3</w:t>
      </w:r>
      <w:r w:rsidR="00B11FFD">
        <w:rPr>
          <w:rFonts w:ascii="Verdana" w:hAnsi="Verdana"/>
          <w:sz w:val="20"/>
          <w:szCs w:val="20"/>
        </w:rPr>
        <w:t>1</w:t>
      </w:r>
      <w:r>
        <w:rPr>
          <w:rFonts w:ascii="Verdana" w:hAnsi="Verdana"/>
          <w:sz w:val="20"/>
          <w:szCs w:val="20"/>
        </w:rPr>
        <w:t>.</w:t>
      </w:r>
    </w:p>
    <w:p w14:paraId="7452CAC9" w14:textId="77777777" w:rsidR="009D1CDF" w:rsidRPr="00507671" w:rsidRDefault="009D1CDF" w:rsidP="009D1CDF">
      <w:pPr>
        <w:spacing w:after="0"/>
        <w:jc w:val="both"/>
        <w:rPr>
          <w:rFonts w:ascii="Verdana" w:hAnsi="Verdana"/>
          <w:bCs/>
          <w:sz w:val="20"/>
          <w:szCs w:val="20"/>
        </w:rPr>
      </w:pPr>
      <w:r w:rsidRPr="00507671">
        <w:rPr>
          <w:rFonts w:ascii="Verdana" w:hAnsi="Verdana"/>
          <w:bCs/>
          <w:sz w:val="20"/>
          <w:szCs w:val="20"/>
        </w:rPr>
        <w:t>Adicionalmente, en los casos en que se hace referencia a las calificadoras autorizadas por la SFC, se entenderán como las calificadoras internacionalmente reconocidas.</w:t>
      </w:r>
    </w:p>
    <w:p w14:paraId="273A6474" w14:textId="77777777" w:rsidR="009D1CDF" w:rsidRPr="00507671" w:rsidRDefault="009D1CDF" w:rsidP="009D1CDF">
      <w:pPr>
        <w:spacing w:after="0"/>
        <w:jc w:val="both"/>
        <w:rPr>
          <w:rFonts w:ascii="Verdana" w:hAnsi="Verdana"/>
          <w:bCs/>
          <w:sz w:val="20"/>
          <w:szCs w:val="20"/>
        </w:rPr>
      </w:pPr>
    </w:p>
    <w:p w14:paraId="4DAE1053" w14:textId="39C518AB" w:rsidR="00073959" w:rsidRDefault="00073959" w:rsidP="00073959">
      <w:pPr>
        <w:spacing w:after="0"/>
        <w:jc w:val="both"/>
        <w:rPr>
          <w:rFonts w:ascii="Verdana" w:hAnsi="Verdana"/>
          <w:sz w:val="20"/>
          <w:szCs w:val="20"/>
        </w:rPr>
      </w:pPr>
      <w:r>
        <w:rPr>
          <w:rFonts w:ascii="Verdana" w:hAnsi="Verdana"/>
          <w:sz w:val="20"/>
          <w:szCs w:val="20"/>
        </w:rPr>
        <w:t>2.5.3</w:t>
      </w:r>
      <w:r w:rsidR="00B11FFD">
        <w:rPr>
          <w:rFonts w:ascii="Verdana" w:hAnsi="Verdana"/>
          <w:sz w:val="20"/>
          <w:szCs w:val="20"/>
        </w:rPr>
        <w:t>2</w:t>
      </w:r>
      <w:r>
        <w:rPr>
          <w:rFonts w:ascii="Verdana" w:hAnsi="Verdana"/>
          <w:sz w:val="20"/>
          <w:szCs w:val="20"/>
        </w:rPr>
        <w:t>.</w:t>
      </w:r>
    </w:p>
    <w:p w14:paraId="062C6B1E" w14:textId="77777777" w:rsidR="009D1CDF" w:rsidRPr="00507671" w:rsidRDefault="009D1CDF" w:rsidP="009D1CDF">
      <w:pPr>
        <w:spacing w:after="0"/>
        <w:jc w:val="both"/>
        <w:rPr>
          <w:rFonts w:ascii="Verdana" w:hAnsi="Verdana"/>
          <w:b/>
          <w:sz w:val="20"/>
          <w:szCs w:val="20"/>
        </w:rPr>
      </w:pPr>
      <w:r w:rsidRPr="00507671">
        <w:rPr>
          <w:rFonts w:ascii="Verdana" w:hAnsi="Verdana"/>
          <w:bCs/>
          <w:sz w:val="20"/>
          <w:szCs w:val="20"/>
        </w:rPr>
        <w:t>Para la aplicación de los ponderadores de riesgo, las entidades deben tener en cuenta la tabla de equivalencias entre códigos de las diferentes agencias calificadoras publicada por la SFC en su página Web, o la equivalente en cada jurisdicción. En los casos en que exista más de una calificación vigente y ponderaciones por riesgos diferentes, se debe utilizar la de mayor riesgo</w:t>
      </w:r>
      <w:r w:rsidRPr="00507671">
        <w:rPr>
          <w:rFonts w:ascii="Verdana" w:hAnsi="Verdana"/>
          <w:b/>
          <w:sz w:val="20"/>
          <w:szCs w:val="20"/>
        </w:rPr>
        <w:t>.</w:t>
      </w:r>
    </w:p>
    <w:p w14:paraId="7116217B" w14:textId="77777777" w:rsidR="009D1CDF" w:rsidRPr="00507671" w:rsidRDefault="009D1CDF" w:rsidP="009D1CDF">
      <w:pPr>
        <w:spacing w:after="0"/>
        <w:jc w:val="both"/>
        <w:rPr>
          <w:rFonts w:ascii="Verdana" w:hAnsi="Verdana"/>
          <w:b/>
          <w:sz w:val="20"/>
          <w:szCs w:val="20"/>
        </w:rPr>
      </w:pPr>
    </w:p>
    <w:p w14:paraId="441BB94D" w14:textId="77777777" w:rsidR="000B191D" w:rsidRDefault="00D15165" w:rsidP="00073959">
      <w:pPr>
        <w:pStyle w:val="Prrafodelista"/>
        <w:numPr>
          <w:ilvl w:val="0"/>
          <w:numId w:val="22"/>
        </w:numPr>
        <w:spacing w:after="0"/>
        <w:ind w:left="851" w:hanging="284"/>
        <w:jc w:val="both"/>
        <w:rPr>
          <w:rFonts w:ascii="Verdana" w:hAnsi="Verdana"/>
          <w:b/>
          <w:sz w:val="20"/>
          <w:szCs w:val="20"/>
        </w:rPr>
      </w:pPr>
      <w:r w:rsidRPr="00D15165">
        <w:rPr>
          <w:rFonts w:ascii="Verdana" w:hAnsi="Verdana"/>
          <w:b/>
          <w:sz w:val="20"/>
          <w:szCs w:val="20"/>
        </w:rPr>
        <w:t>Participaciones en fondos o patrimonios autónomos</w:t>
      </w:r>
    </w:p>
    <w:p w14:paraId="312E9CF1" w14:textId="77777777" w:rsidR="000B191D" w:rsidRPr="000B191D" w:rsidRDefault="000B191D" w:rsidP="000B191D">
      <w:pPr>
        <w:pStyle w:val="Prrafodelista"/>
        <w:spacing w:after="0"/>
        <w:ind w:left="851"/>
        <w:jc w:val="both"/>
        <w:rPr>
          <w:rFonts w:ascii="Verdana" w:hAnsi="Verdana"/>
          <w:b/>
          <w:sz w:val="20"/>
          <w:szCs w:val="20"/>
        </w:rPr>
      </w:pPr>
    </w:p>
    <w:p w14:paraId="372587B7" w14:textId="38B27490" w:rsidR="00073959" w:rsidRPr="000B191D" w:rsidRDefault="00073959" w:rsidP="000B191D">
      <w:pPr>
        <w:spacing w:after="0"/>
        <w:jc w:val="both"/>
        <w:rPr>
          <w:rFonts w:ascii="Verdana" w:hAnsi="Verdana"/>
          <w:b/>
          <w:sz w:val="20"/>
          <w:szCs w:val="20"/>
        </w:rPr>
      </w:pPr>
      <w:r w:rsidRPr="000B191D">
        <w:rPr>
          <w:rFonts w:ascii="Verdana" w:hAnsi="Verdana"/>
          <w:sz w:val="20"/>
          <w:szCs w:val="20"/>
        </w:rPr>
        <w:t>2.5.3</w:t>
      </w:r>
      <w:r w:rsidR="00B11FFD" w:rsidRPr="000B191D">
        <w:rPr>
          <w:rFonts w:ascii="Verdana" w:hAnsi="Verdana"/>
          <w:sz w:val="20"/>
          <w:szCs w:val="20"/>
        </w:rPr>
        <w:t>3</w:t>
      </w:r>
      <w:r w:rsidRPr="000B191D">
        <w:rPr>
          <w:rFonts w:ascii="Verdana" w:hAnsi="Verdana"/>
          <w:sz w:val="20"/>
          <w:szCs w:val="20"/>
        </w:rPr>
        <w:t>.</w:t>
      </w:r>
    </w:p>
    <w:p w14:paraId="6068CE04" w14:textId="7C5E8941" w:rsidR="009D1CDF" w:rsidRPr="00507671" w:rsidRDefault="009D1CDF" w:rsidP="00027BD5">
      <w:pPr>
        <w:spacing w:after="0"/>
        <w:jc w:val="both"/>
        <w:rPr>
          <w:rFonts w:ascii="Verdana" w:hAnsi="Verdana"/>
          <w:sz w:val="20"/>
          <w:szCs w:val="20"/>
        </w:rPr>
      </w:pPr>
      <w:r w:rsidRPr="17FBBDE5">
        <w:rPr>
          <w:rFonts w:ascii="Verdana" w:hAnsi="Verdana"/>
          <w:sz w:val="20"/>
          <w:szCs w:val="20"/>
        </w:rPr>
        <w:t xml:space="preserve">En el caso de las participaciones en fondos de inversión o patrimonios autónomos, se aplicarán los lineamientos </w:t>
      </w:r>
      <w:r w:rsidR="00DB1666">
        <w:rPr>
          <w:rFonts w:ascii="Verdana" w:hAnsi="Verdana"/>
          <w:sz w:val="20"/>
          <w:szCs w:val="20"/>
        </w:rPr>
        <w:t>definidos en</w:t>
      </w:r>
      <w:r w:rsidR="00D768CB" w:rsidRPr="00D768CB">
        <w:rPr>
          <w:rFonts w:ascii="Verdana" w:hAnsi="Verdana"/>
          <w:bCs/>
          <w:sz w:val="20"/>
          <w:szCs w:val="20"/>
        </w:rPr>
        <w:t xml:space="preserve"> los párrafos: (i) 2.4.2.31</w:t>
      </w:r>
      <w:r w:rsidR="005F56E3">
        <w:rPr>
          <w:rFonts w:ascii="Verdana" w:hAnsi="Verdana"/>
          <w:bCs/>
          <w:sz w:val="20"/>
          <w:szCs w:val="20"/>
        </w:rPr>
        <w:t>.</w:t>
      </w:r>
      <w:r w:rsidR="00D768CB" w:rsidRPr="00D768CB">
        <w:rPr>
          <w:rFonts w:ascii="Verdana" w:hAnsi="Verdana"/>
          <w:bCs/>
          <w:sz w:val="20"/>
          <w:szCs w:val="20"/>
        </w:rPr>
        <w:t xml:space="preserve"> al 2.4.2.56</w:t>
      </w:r>
      <w:r w:rsidR="005F56E3">
        <w:rPr>
          <w:rFonts w:ascii="Verdana" w:hAnsi="Verdana"/>
          <w:bCs/>
          <w:sz w:val="20"/>
          <w:szCs w:val="20"/>
        </w:rPr>
        <w:t>.</w:t>
      </w:r>
      <w:r w:rsidR="00D768CB" w:rsidRPr="00D768CB">
        <w:rPr>
          <w:rFonts w:ascii="Verdana" w:hAnsi="Verdana"/>
          <w:bCs/>
          <w:sz w:val="20"/>
          <w:szCs w:val="20"/>
        </w:rPr>
        <w:t xml:space="preserve"> de la sección 2 del capítulo 4 de la parte 2 de la CBRAPIF, (</w:t>
      </w:r>
      <w:proofErr w:type="spellStart"/>
      <w:r w:rsidR="00D768CB" w:rsidRPr="00D768CB">
        <w:rPr>
          <w:rFonts w:ascii="Verdana" w:hAnsi="Verdana"/>
          <w:bCs/>
          <w:sz w:val="20"/>
          <w:szCs w:val="20"/>
        </w:rPr>
        <w:t>ii</w:t>
      </w:r>
      <w:proofErr w:type="spellEnd"/>
      <w:r w:rsidR="00D768CB" w:rsidRPr="00D768CB">
        <w:rPr>
          <w:rFonts w:ascii="Verdana" w:hAnsi="Verdana"/>
          <w:bCs/>
          <w:sz w:val="20"/>
          <w:szCs w:val="20"/>
        </w:rPr>
        <w:t>) 2.4.3.24</w:t>
      </w:r>
      <w:r w:rsidR="005F56E3">
        <w:rPr>
          <w:rFonts w:ascii="Verdana" w:hAnsi="Verdana"/>
          <w:bCs/>
          <w:sz w:val="20"/>
          <w:szCs w:val="20"/>
        </w:rPr>
        <w:t>.</w:t>
      </w:r>
      <w:r w:rsidR="00D768CB" w:rsidRPr="00D768CB">
        <w:rPr>
          <w:rFonts w:ascii="Verdana" w:hAnsi="Verdana"/>
          <w:bCs/>
          <w:sz w:val="20"/>
          <w:szCs w:val="20"/>
        </w:rPr>
        <w:t xml:space="preserve"> al 2.4.3.54</w:t>
      </w:r>
      <w:r w:rsidR="005F56E3">
        <w:rPr>
          <w:rFonts w:ascii="Verdana" w:hAnsi="Verdana"/>
          <w:bCs/>
          <w:sz w:val="20"/>
          <w:szCs w:val="20"/>
        </w:rPr>
        <w:t>.</w:t>
      </w:r>
      <w:r w:rsidR="00D768CB" w:rsidRPr="00D768CB">
        <w:rPr>
          <w:rFonts w:ascii="Verdana" w:hAnsi="Verdana"/>
          <w:bCs/>
          <w:sz w:val="20"/>
          <w:szCs w:val="20"/>
        </w:rPr>
        <w:t xml:space="preserve"> de la sección 3 del capítulo 4 de la parte 2 de la CBRAPIF y (</w:t>
      </w:r>
      <w:proofErr w:type="spellStart"/>
      <w:r w:rsidR="00D768CB" w:rsidRPr="00D768CB">
        <w:rPr>
          <w:rFonts w:ascii="Verdana" w:hAnsi="Verdana"/>
          <w:bCs/>
          <w:sz w:val="20"/>
          <w:szCs w:val="20"/>
        </w:rPr>
        <w:t>iii</w:t>
      </w:r>
      <w:proofErr w:type="spellEnd"/>
      <w:r w:rsidR="00D768CB" w:rsidRPr="00D768CB">
        <w:rPr>
          <w:rFonts w:ascii="Verdana" w:hAnsi="Verdana"/>
          <w:bCs/>
          <w:sz w:val="20"/>
          <w:szCs w:val="20"/>
        </w:rPr>
        <w:t xml:space="preserve">) 2.4.4.28 al 2.4.4.49 de la </w:t>
      </w:r>
      <w:r w:rsidR="00D768CB" w:rsidRPr="00D768CB">
        <w:rPr>
          <w:rFonts w:ascii="Verdana" w:hAnsi="Verdana"/>
          <w:bCs/>
          <w:sz w:val="20"/>
          <w:szCs w:val="20"/>
        </w:rPr>
        <w:lastRenderedPageBreak/>
        <w:t>sección 4</w:t>
      </w:r>
      <w:r w:rsidR="00D768CB" w:rsidRPr="00D768CB">
        <w:rPr>
          <w:rFonts w:ascii="Verdana" w:hAnsi="Verdana"/>
          <w:b/>
          <w:sz w:val="20"/>
          <w:szCs w:val="20"/>
        </w:rPr>
        <w:t xml:space="preserve"> </w:t>
      </w:r>
      <w:r w:rsidR="00D768CB" w:rsidRPr="00D768CB">
        <w:rPr>
          <w:rFonts w:ascii="Verdana" w:hAnsi="Verdana"/>
          <w:bCs/>
          <w:sz w:val="20"/>
          <w:szCs w:val="20"/>
        </w:rPr>
        <w:t>del capítulo 4 de la parte 2 de la CBRAPIF</w:t>
      </w:r>
      <w:r w:rsidRPr="17FBBDE5">
        <w:rPr>
          <w:rFonts w:ascii="Verdana" w:hAnsi="Verdana"/>
          <w:sz w:val="20"/>
          <w:szCs w:val="20"/>
        </w:rPr>
        <w:t xml:space="preserve">. Para aplicar dichas metodologías se </w:t>
      </w:r>
      <w:r w:rsidR="00B77DE3" w:rsidRPr="17FBBDE5">
        <w:rPr>
          <w:rFonts w:ascii="Verdana" w:hAnsi="Verdana"/>
          <w:sz w:val="20"/>
          <w:szCs w:val="20"/>
        </w:rPr>
        <w:t>deben considerar</w:t>
      </w:r>
      <w:r w:rsidRPr="17FBBDE5">
        <w:rPr>
          <w:rFonts w:ascii="Verdana" w:hAnsi="Verdana"/>
          <w:sz w:val="20"/>
          <w:szCs w:val="20"/>
        </w:rPr>
        <w:t xml:space="preserve"> los porcentajes de ponderación determinados, de acuerdo con las instrucciones </w:t>
      </w:r>
      <w:r w:rsidR="0015506A">
        <w:rPr>
          <w:rFonts w:ascii="Verdana" w:hAnsi="Verdana"/>
          <w:sz w:val="20"/>
          <w:szCs w:val="20"/>
        </w:rPr>
        <w:t xml:space="preserve">anteriores sobre </w:t>
      </w:r>
      <w:r w:rsidR="00D878FD">
        <w:rPr>
          <w:rFonts w:ascii="Verdana" w:hAnsi="Verdana"/>
          <w:sz w:val="20"/>
          <w:szCs w:val="20"/>
        </w:rPr>
        <w:t xml:space="preserve">la ponderación </w:t>
      </w:r>
      <w:r w:rsidR="00C60588">
        <w:rPr>
          <w:rFonts w:ascii="Verdana" w:hAnsi="Verdana"/>
          <w:sz w:val="20"/>
          <w:szCs w:val="20"/>
        </w:rPr>
        <w:t>antes definida para:</w:t>
      </w:r>
      <w:r w:rsidR="006E36A6">
        <w:rPr>
          <w:rFonts w:ascii="Verdana" w:hAnsi="Verdana"/>
          <w:sz w:val="20"/>
          <w:szCs w:val="20"/>
        </w:rPr>
        <w:t xml:space="preserve">(i) </w:t>
      </w:r>
      <w:r w:rsidR="00D878FD">
        <w:rPr>
          <w:rFonts w:ascii="Verdana" w:hAnsi="Verdana"/>
          <w:sz w:val="20"/>
          <w:szCs w:val="20"/>
        </w:rPr>
        <w:t>a</w:t>
      </w:r>
      <w:r w:rsidR="00D878FD" w:rsidRPr="00D878FD">
        <w:rPr>
          <w:rFonts w:ascii="Verdana" w:hAnsi="Verdana"/>
          <w:sz w:val="20"/>
          <w:szCs w:val="20"/>
        </w:rPr>
        <w:t>ctivos con ponderaciones por categorías</w:t>
      </w:r>
      <w:r w:rsidR="00F55B37">
        <w:rPr>
          <w:rFonts w:ascii="Verdana" w:hAnsi="Verdana"/>
          <w:sz w:val="20"/>
          <w:szCs w:val="20"/>
        </w:rPr>
        <w:t>,</w:t>
      </w:r>
      <w:r w:rsidR="00D104CE">
        <w:rPr>
          <w:rFonts w:ascii="Verdana" w:hAnsi="Verdana"/>
          <w:sz w:val="20"/>
          <w:szCs w:val="20"/>
        </w:rPr>
        <w:t xml:space="preserve"> p</w:t>
      </w:r>
      <w:r w:rsidR="006E36A6">
        <w:rPr>
          <w:rFonts w:ascii="Verdana" w:hAnsi="Verdana"/>
          <w:sz w:val="20"/>
          <w:szCs w:val="20"/>
        </w:rPr>
        <w:t>árrafos 2.5.27</w:t>
      </w:r>
      <w:r w:rsidR="00360449">
        <w:rPr>
          <w:rFonts w:ascii="Verdana" w:hAnsi="Verdana"/>
          <w:sz w:val="20"/>
          <w:szCs w:val="20"/>
        </w:rPr>
        <w:t>.</w:t>
      </w:r>
      <w:r w:rsidR="006E36A6">
        <w:rPr>
          <w:rFonts w:ascii="Verdana" w:hAnsi="Verdana"/>
          <w:sz w:val="20"/>
          <w:szCs w:val="20"/>
        </w:rPr>
        <w:t xml:space="preserve"> a 2.5.29</w:t>
      </w:r>
      <w:r w:rsidR="00360449">
        <w:rPr>
          <w:rFonts w:ascii="Verdana" w:hAnsi="Verdana"/>
          <w:sz w:val="20"/>
          <w:szCs w:val="20"/>
        </w:rPr>
        <w:t>.</w:t>
      </w:r>
      <w:r w:rsidR="006E36A6">
        <w:rPr>
          <w:rFonts w:ascii="Verdana" w:hAnsi="Verdana"/>
          <w:sz w:val="20"/>
          <w:szCs w:val="20"/>
        </w:rPr>
        <w:t xml:space="preserve"> y (</w:t>
      </w:r>
      <w:proofErr w:type="spellStart"/>
      <w:r w:rsidR="006E36A6">
        <w:rPr>
          <w:rFonts w:ascii="Verdana" w:hAnsi="Verdana"/>
          <w:sz w:val="20"/>
          <w:szCs w:val="20"/>
        </w:rPr>
        <w:t>ii</w:t>
      </w:r>
      <w:proofErr w:type="spellEnd"/>
      <w:r w:rsidR="006E36A6">
        <w:rPr>
          <w:rFonts w:ascii="Verdana" w:hAnsi="Verdana"/>
          <w:sz w:val="20"/>
          <w:szCs w:val="20"/>
        </w:rPr>
        <w:t>)</w:t>
      </w:r>
      <w:r w:rsidR="0012785E">
        <w:rPr>
          <w:rFonts w:ascii="Verdana" w:hAnsi="Verdana"/>
          <w:sz w:val="20"/>
          <w:szCs w:val="20"/>
        </w:rPr>
        <w:t xml:space="preserve"> otros activos</w:t>
      </w:r>
      <w:r w:rsidR="00D104CE">
        <w:rPr>
          <w:rFonts w:ascii="Verdana" w:hAnsi="Verdana"/>
          <w:sz w:val="20"/>
          <w:szCs w:val="20"/>
        </w:rPr>
        <w:t xml:space="preserve">, </w:t>
      </w:r>
      <w:r w:rsidR="004E4FD6">
        <w:rPr>
          <w:rFonts w:ascii="Verdana" w:hAnsi="Verdana"/>
          <w:sz w:val="20"/>
          <w:szCs w:val="20"/>
        </w:rPr>
        <w:t>párrafos 2.5.30 a 2.5.32</w:t>
      </w:r>
      <w:r w:rsidRPr="17FBBDE5">
        <w:rPr>
          <w:rFonts w:ascii="Verdana" w:hAnsi="Verdana"/>
          <w:sz w:val="20"/>
          <w:szCs w:val="20"/>
        </w:rPr>
        <w:t xml:space="preserve"> </w:t>
      </w:r>
      <w:r w:rsidRPr="004E4FD6">
        <w:rPr>
          <w:rFonts w:ascii="Verdana" w:hAnsi="Verdana"/>
          <w:sz w:val="20"/>
          <w:szCs w:val="20"/>
        </w:rPr>
        <w:t xml:space="preserve">del presente </w:t>
      </w:r>
      <w:r w:rsidR="00C8395E" w:rsidRPr="004E4FD6">
        <w:rPr>
          <w:rFonts w:ascii="Verdana" w:hAnsi="Verdana"/>
          <w:sz w:val="20"/>
          <w:szCs w:val="20"/>
        </w:rPr>
        <w:t>c</w:t>
      </w:r>
      <w:r w:rsidRPr="004E4FD6">
        <w:rPr>
          <w:rFonts w:ascii="Verdana" w:hAnsi="Verdana"/>
          <w:sz w:val="20"/>
          <w:szCs w:val="20"/>
        </w:rPr>
        <w:t>apítulo</w:t>
      </w:r>
      <w:r w:rsidRPr="17FBBDE5">
        <w:rPr>
          <w:rFonts w:ascii="Verdana" w:hAnsi="Verdana"/>
          <w:sz w:val="20"/>
          <w:szCs w:val="20"/>
        </w:rPr>
        <w:t>.</w:t>
      </w:r>
    </w:p>
    <w:p w14:paraId="2FB4482B" w14:textId="77777777" w:rsidR="009D1CDF" w:rsidRPr="004E4FD6" w:rsidRDefault="009D1CDF" w:rsidP="009D1CDF">
      <w:pPr>
        <w:spacing w:after="0"/>
        <w:jc w:val="both"/>
        <w:rPr>
          <w:rFonts w:ascii="Verdana" w:hAnsi="Verdana"/>
          <w:sz w:val="20"/>
          <w:szCs w:val="20"/>
        </w:rPr>
      </w:pPr>
    </w:p>
    <w:p w14:paraId="324175DC" w14:textId="54ED48B3" w:rsidR="009D1CDF" w:rsidRPr="00CE69E6" w:rsidRDefault="00CE69E6" w:rsidP="00CE69E6">
      <w:pPr>
        <w:pStyle w:val="Prrafodelista"/>
        <w:numPr>
          <w:ilvl w:val="0"/>
          <w:numId w:val="22"/>
        </w:numPr>
        <w:spacing w:after="0"/>
        <w:ind w:left="851" w:hanging="284"/>
        <w:jc w:val="both"/>
        <w:rPr>
          <w:rFonts w:ascii="Verdana" w:hAnsi="Verdana"/>
          <w:b/>
          <w:sz w:val="20"/>
          <w:szCs w:val="20"/>
        </w:rPr>
      </w:pPr>
      <w:r w:rsidRPr="00CE69E6">
        <w:rPr>
          <w:rFonts w:ascii="Verdana" w:hAnsi="Verdana"/>
          <w:b/>
          <w:sz w:val="20"/>
          <w:szCs w:val="20"/>
        </w:rPr>
        <w:t>Activos, exposiciones, contingencias con grandes empresas</w:t>
      </w:r>
    </w:p>
    <w:p w14:paraId="14534367" w14:textId="77777777" w:rsidR="009D1CDF" w:rsidRPr="00507671" w:rsidRDefault="009D1CDF" w:rsidP="009D1CDF">
      <w:pPr>
        <w:spacing w:after="0"/>
        <w:jc w:val="both"/>
        <w:rPr>
          <w:rFonts w:ascii="Verdana" w:hAnsi="Verdana"/>
          <w:b/>
          <w:sz w:val="20"/>
          <w:szCs w:val="20"/>
        </w:rPr>
      </w:pPr>
    </w:p>
    <w:p w14:paraId="5AA15EC6" w14:textId="1BF378E0" w:rsidR="00073959" w:rsidRDefault="00073959" w:rsidP="00073959">
      <w:pPr>
        <w:spacing w:after="0"/>
        <w:jc w:val="both"/>
        <w:rPr>
          <w:rFonts w:ascii="Verdana" w:hAnsi="Verdana"/>
          <w:sz w:val="20"/>
          <w:szCs w:val="20"/>
        </w:rPr>
      </w:pPr>
      <w:r>
        <w:rPr>
          <w:rFonts w:ascii="Verdana" w:hAnsi="Verdana"/>
          <w:sz w:val="20"/>
          <w:szCs w:val="20"/>
        </w:rPr>
        <w:t>2.5.3</w:t>
      </w:r>
      <w:r w:rsidR="00B11FFD">
        <w:rPr>
          <w:rFonts w:ascii="Verdana" w:hAnsi="Verdana"/>
          <w:sz w:val="20"/>
          <w:szCs w:val="20"/>
        </w:rPr>
        <w:t>4</w:t>
      </w:r>
      <w:r>
        <w:rPr>
          <w:rFonts w:ascii="Verdana" w:hAnsi="Verdana"/>
          <w:sz w:val="20"/>
          <w:szCs w:val="20"/>
        </w:rPr>
        <w:t>.</w:t>
      </w:r>
    </w:p>
    <w:p w14:paraId="594D8F06" w14:textId="6374D9C5" w:rsidR="009D1CDF" w:rsidRPr="00507671" w:rsidRDefault="009D1CDF" w:rsidP="17FBBDE5">
      <w:pPr>
        <w:spacing w:after="0"/>
        <w:jc w:val="both"/>
        <w:rPr>
          <w:rFonts w:ascii="Verdana" w:hAnsi="Verdana"/>
          <w:sz w:val="20"/>
          <w:szCs w:val="20"/>
        </w:rPr>
      </w:pPr>
      <w:r w:rsidRPr="17FBBDE5">
        <w:rPr>
          <w:rFonts w:ascii="Verdana" w:hAnsi="Verdana"/>
          <w:sz w:val="20"/>
          <w:szCs w:val="20"/>
        </w:rPr>
        <w:t xml:space="preserve">Para la clasificación y ponderación de los activos, exposiciones y contingencias frente a grandes empresas de las subordinadas del exterior se debe utilizar la clasificación del numeral 8 de los artículos 2.5.3.1.10, 2.6.1.1.10, 2.9.1.1.11 del Decreto 2555 de 2010 y las instrucciones para la determinación del porcentaje de ponderación </w:t>
      </w:r>
      <w:r w:rsidR="00C60588">
        <w:rPr>
          <w:rFonts w:ascii="Verdana" w:hAnsi="Verdana"/>
          <w:sz w:val="20"/>
          <w:szCs w:val="20"/>
        </w:rPr>
        <w:t>antes definida para</w:t>
      </w:r>
      <w:r w:rsidR="009A780A">
        <w:rPr>
          <w:rFonts w:ascii="Verdana" w:hAnsi="Verdana"/>
          <w:sz w:val="20"/>
          <w:szCs w:val="20"/>
        </w:rPr>
        <w:t>:</w:t>
      </w:r>
      <w:r w:rsidRPr="17FBBDE5">
        <w:rPr>
          <w:rFonts w:ascii="Verdana" w:hAnsi="Verdana"/>
          <w:sz w:val="20"/>
          <w:szCs w:val="20"/>
        </w:rPr>
        <w:t xml:space="preserve"> </w:t>
      </w:r>
      <w:r w:rsidR="009A780A">
        <w:rPr>
          <w:rFonts w:ascii="Verdana" w:hAnsi="Verdana"/>
          <w:sz w:val="20"/>
          <w:szCs w:val="20"/>
        </w:rPr>
        <w:t>(i) a</w:t>
      </w:r>
      <w:r w:rsidR="009A780A" w:rsidRPr="00D878FD">
        <w:rPr>
          <w:rFonts w:ascii="Verdana" w:hAnsi="Verdana"/>
          <w:sz w:val="20"/>
          <w:szCs w:val="20"/>
        </w:rPr>
        <w:t>ctivos con ponderaciones por categorías</w:t>
      </w:r>
      <w:r w:rsidR="009A780A">
        <w:rPr>
          <w:rFonts w:ascii="Verdana" w:hAnsi="Verdana"/>
          <w:sz w:val="20"/>
          <w:szCs w:val="20"/>
        </w:rPr>
        <w:t xml:space="preserve"> de los párrafos 2.5.27</w:t>
      </w:r>
      <w:r w:rsidR="00360449">
        <w:rPr>
          <w:rFonts w:ascii="Verdana" w:hAnsi="Verdana"/>
          <w:sz w:val="20"/>
          <w:szCs w:val="20"/>
        </w:rPr>
        <w:t>.</w:t>
      </w:r>
      <w:r w:rsidR="009A780A">
        <w:rPr>
          <w:rFonts w:ascii="Verdana" w:hAnsi="Verdana"/>
          <w:sz w:val="20"/>
          <w:szCs w:val="20"/>
        </w:rPr>
        <w:t xml:space="preserve"> a 2.5.29</w:t>
      </w:r>
      <w:r w:rsidR="00360449">
        <w:rPr>
          <w:rFonts w:ascii="Verdana" w:hAnsi="Verdana"/>
          <w:sz w:val="20"/>
          <w:szCs w:val="20"/>
        </w:rPr>
        <w:t>.</w:t>
      </w:r>
      <w:r w:rsidR="009A780A">
        <w:rPr>
          <w:rFonts w:ascii="Verdana" w:hAnsi="Verdana"/>
          <w:sz w:val="20"/>
          <w:szCs w:val="20"/>
        </w:rPr>
        <w:t xml:space="preserve"> y (</w:t>
      </w:r>
      <w:proofErr w:type="spellStart"/>
      <w:r w:rsidR="009A780A">
        <w:rPr>
          <w:rFonts w:ascii="Verdana" w:hAnsi="Verdana"/>
          <w:sz w:val="20"/>
          <w:szCs w:val="20"/>
        </w:rPr>
        <w:t>ii</w:t>
      </w:r>
      <w:proofErr w:type="spellEnd"/>
      <w:r w:rsidR="009A780A">
        <w:rPr>
          <w:rFonts w:ascii="Verdana" w:hAnsi="Verdana"/>
          <w:sz w:val="20"/>
          <w:szCs w:val="20"/>
        </w:rPr>
        <w:t>) de otros activos de los párrafos 2.5.30</w:t>
      </w:r>
      <w:r w:rsidR="00360449">
        <w:rPr>
          <w:rFonts w:ascii="Verdana" w:hAnsi="Verdana"/>
          <w:sz w:val="20"/>
          <w:szCs w:val="20"/>
        </w:rPr>
        <w:t>.</w:t>
      </w:r>
      <w:r w:rsidR="009A780A">
        <w:rPr>
          <w:rFonts w:ascii="Verdana" w:hAnsi="Verdana"/>
          <w:sz w:val="20"/>
          <w:szCs w:val="20"/>
        </w:rPr>
        <w:t xml:space="preserve"> a 2.5.32</w:t>
      </w:r>
      <w:r w:rsidR="00360449">
        <w:rPr>
          <w:rFonts w:ascii="Verdana" w:hAnsi="Verdana"/>
          <w:sz w:val="20"/>
          <w:szCs w:val="20"/>
        </w:rPr>
        <w:t>.</w:t>
      </w:r>
      <w:r w:rsidR="009A780A" w:rsidRPr="17FBBDE5">
        <w:rPr>
          <w:rFonts w:ascii="Verdana" w:hAnsi="Verdana"/>
          <w:sz w:val="20"/>
          <w:szCs w:val="20"/>
        </w:rPr>
        <w:t xml:space="preserve"> </w:t>
      </w:r>
      <w:r w:rsidR="00C0631F">
        <w:rPr>
          <w:rFonts w:ascii="Verdana" w:hAnsi="Verdana"/>
          <w:sz w:val="20"/>
          <w:szCs w:val="20"/>
        </w:rPr>
        <w:t xml:space="preserve">del </w:t>
      </w:r>
      <w:r w:rsidRPr="17FBBDE5">
        <w:rPr>
          <w:rFonts w:ascii="Verdana" w:hAnsi="Verdana"/>
          <w:sz w:val="20"/>
          <w:szCs w:val="20"/>
        </w:rPr>
        <w:t>presente capítulo, siempre que en la jurisdicción donde se encuentre ubicada la subordinada del exterior exista una definición legal de gran empresa. Cuando no se cuente con dicha definición legal, los activos, exposiciones y contingencias de las subordinadas del exterior ponderarán al 100%.</w:t>
      </w:r>
    </w:p>
    <w:p w14:paraId="0F74B366" w14:textId="77777777" w:rsidR="009D1CDF" w:rsidRPr="00507671" w:rsidRDefault="009D1CDF" w:rsidP="009D1CDF">
      <w:pPr>
        <w:spacing w:after="0"/>
        <w:jc w:val="both"/>
        <w:rPr>
          <w:rFonts w:ascii="Verdana" w:hAnsi="Verdana"/>
          <w:bCs/>
          <w:sz w:val="20"/>
          <w:szCs w:val="20"/>
        </w:rPr>
      </w:pPr>
    </w:p>
    <w:p w14:paraId="03C7CD01" w14:textId="12E6A818" w:rsidR="00EF37AA" w:rsidRDefault="00EF37AA" w:rsidP="00EF37AA">
      <w:pPr>
        <w:spacing w:after="0"/>
        <w:jc w:val="both"/>
        <w:rPr>
          <w:rFonts w:ascii="Verdana" w:hAnsi="Verdana"/>
          <w:sz w:val="20"/>
          <w:szCs w:val="20"/>
        </w:rPr>
      </w:pPr>
      <w:r>
        <w:rPr>
          <w:rFonts w:ascii="Verdana" w:hAnsi="Verdana"/>
          <w:sz w:val="20"/>
          <w:szCs w:val="20"/>
        </w:rPr>
        <w:t>2.5.3</w:t>
      </w:r>
      <w:r w:rsidR="00B11FFD">
        <w:rPr>
          <w:rFonts w:ascii="Verdana" w:hAnsi="Verdana"/>
          <w:sz w:val="20"/>
          <w:szCs w:val="20"/>
        </w:rPr>
        <w:t>5</w:t>
      </w:r>
      <w:r>
        <w:rPr>
          <w:rFonts w:ascii="Verdana" w:hAnsi="Verdana"/>
          <w:sz w:val="20"/>
          <w:szCs w:val="20"/>
        </w:rPr>
        <w:t>.</w:t>
      </w:r>
    </w:p>
    <w:p w14:paraId="0B12F7D8" w14:textId="77777777" w:rsidR="009D1CDF" w:rsidRPr="00507671" w:rsidRDefault="009D1CDF" w:rsidP="009D1CDF">
      <w:pPr>
        <w:spacing w:after="0"/>
        <w:jc w:val="both"/>
        <w:rPr>
          <w:rFonts w:ascii="Verdana" w:hAnsi="Verdana"/>
          <w:bCs/>
          <w:sz w:val="20"/>
          <w:szCs w:val="20"/>
        </w:rPr>
      </w:pPr>
      <w:r w:rsidRPr="00507671">
        <w:rPr>
          <w:rFonts w:ascii="Verdana" w:hAnsi="Verdana"/>
          <w:bCs/>
          <w:sz w:val="20"/>
          <w:szCs w:val="20"/>
        </w:rPr>
        <w:t>Para la aplicación de los ponderadores por riesgo, las entidades deben tener en cuenta la tabla de equivalencias entre códigos de las diferentes agencias calificadoras publicada por la SFC en su página Web, o la equivalente en cada jurisdicción. En los casos en que exista más de una calificación vigente y ponderaciones por riesgos diferentes, se debe utilizar el de mayor riesgo.</w:t>
      </w:r>
    </w:p>
    <w:p w14:paraId="71BADE40" w14:textId="77777777" w:rsidR="009D1CDF" w:rsidRPr="00507671" w:rsidRDefault="009D1CDF" w:rsidP="009D1CDF">
      <w:pPr>
        <w:spacing w:after="0"/>
        <w:jc w:val="both"/>
        <w:rPr>
          <w:rFonts w:ascii="Verdana" w:hAnsi="Verdana"/>
          <w:b/>
          <w:sz w:val="20"/>
          <w:szCs w:val="20"/>
        </w:rPr>
      </w:pPr>
    </w:p>
    <w:p w14:paraId="28ED33B7" w14:textId="27D515FF" w:rsidR="009D1CDF" w:rsidRPr="00B37DD3" w:rsidRDefault="00B37DD3" w:rsidP="00B37DD3">
      <w:pPr>
        <w:pStyle w:val="Prrafodelista"/>
        <w:numPr>
          <w:ilvl w:val="0"/>
          <w:numId w:val="22"/>
        </w:numPr>
        <w:spacing w:after="0"/>
        <w:ind w:left="851" w:hanging="284"/>
        <w:jc w:val="both"/>
        <w:rPr>
          <w:rFonts w:ascii="Verdana" w:hAnsi="Verdana"/>
          <w:b/>
          <w:sz w:val="20"/>
          <w:szCs w:val="20"/>
        </w:rPr>
      </w:pPr>
      <w:r w:rsidRPr="00B37DD3">
        <w:rPr>
          <w:rFonts w:ascii="Verdana" w:hAnsi="Verdana"/>
          <w:b/>
          <w:sz w:val="20"/>
          <w:szCs w:val="20"/>
        </w:rPr>
        <w:t>Activos, exposiciones y contingencias con personas naturales, micro, pequeñas y medianas empresas</w:t>
      </w:r>
    </w:p>
    <w:p w14:paraId="2EE5ADB3" w14:textId="77777777" w:rsidR="009D1CDF" w:rsidRPr="00507671" w:rsidRDefault="009D1CDF" w:rsidP="009D1CDF">
      <w:pPr>
        <w:spacing w:after="0"/>
        <w:jc w:val="both"/>
        <w:rPr>
          <w:rFonts w:ascii="Verdana" w:hAnsi="Verdana"/>
          <w:b/>
          <w:sz w:val="20"/>
          <w:szCs w:val="20"/>
        </w:rPr>
      </w:pPr>
    </w:p>
    <w:p w14:paraId="09987B64" w14:textId="3E9A1444" w:rsidR="00EF37AA" w:rsidRDefault="00EF37AA" w:rsidP="00EF37AA">
      <w:pPr>
        <w:spacing w:after="0"/>
        <w:jc w:val="both"/>
        <w:rPr>
          <w:rFonts w:ascii="Verdana" w:hAnsi="Verdana"/>
          <w:sz w:val="20"/>
          <w:szCs w:val="20"/>
        </w:rPr>
      </w:pPr>
      <w:r>
        <w:rPr>
          <w:rFonts w:ascii="Verdana" w:hAnsi="Verdana"/>
          <w:sz w:val="20"/>
          <w:szCs w:val="20"/>
        </w:rPr>
        <w:t>2.5.</w:t>
      </w:r>
      <w:r w:rsidR="00B11FFD">
        <w:rPr>
          <w:rFonts w:ascii="Verdana" w:hAnsi="Verdana"/>
          <w:sz w:val="20"/>
          <w:szCs w:val="20"/>
        </w:rPr>
        <w:t>36</w:t>
      </w:r>
      <w:r>
        <w:rPr>
          <w:rFonts w:ascii="Verdana" w:hAnsi="Verdana"/>
          <w:sz w:val="20"/>
          <w:szCs w:val="20"/>
        </w:rPr>
        <w:t>.</w:t>
      </w:r>
    </w:p>
    <w:p w14:paraId="3C458B09" w14:textId="77777777" w:rsidR="009D1CDF" w:rsidRPr="00507671" w:rsidRDefault="009D1CDF" w:rsidP="009D1CDF">
      <w:pPr>
        <w:spacing w:after="0"/>
        <w:jc w:val="both"/>
        <w:rPr>
          <w:rFonts w:ascii="Verdana" w:hAnsi="Verdana"/>
          <w:bCs/>
          <w:sz w:val="20"/>
          <w:szCs w:val="20"/>
        </w:rPr>
      </w:pPr>
      <w:r w:rsidRPr="00507671">
        <w:rPr>
          <w:rFonts w:ascii="Verdana" w:hAnsi="Verdana"/>
          <w:bCs/>
          <w:sz w:val="20"/>
          <w:szCs w:val="20"/>
        </w:rPr>
        <w:t>Tratándose de los activos, exposiciones y contingencias, incluida la exposición crediticia en instrumentos financieros derivados, de las subordinadas del exterior frente a estas contrapartes, la referida exposición se debe ponderar de acuerdo con la siguiente tabla, teniendo en cuenta: (i) la calificación crediticia soberana de largo plazo del país de residencia o incorporación de la contraparte otorgada por una agencia calificadora reconocida internacionalmente, y (</w:t>
      </w:r>
      <w:proofErr w:type="spellStart"/>
      <w:r w:rsidRPr="00507671">
        <w:rPr>
          <w:rFonts w:ascii="Verdana" w:hAnsi="Verdana"/>
          <w:bCs/>
          <w:sz w:val="20"/>
          <w:szCs w:val="20"/>
        </w:rPr>
        <w:t>ii</w:t>
      </w:r>
      <w:proofErr w:type="spellEnd"/>
      <w:r w:rsidRPr="00507671">
        <w:rPr>
          <w:rFonts w:ascii="Verdana" w:hAnsi="Verdana"/>
          <w:bCs/>
          <w:sz w:val="20"/>
          <w:szCs w:val="20"/>
        </w:rPr>
        <w:t>) en el caso de las exposiciones con micro, pequeña y mediana empresa se debe aplicar la definición legal del país en donde se encuentra ubicada la subordinada del exterior.</w:t>
      </w:r>
    </w:p>
    <w:p w14:paraId="52F3BE65" w14:textId="77777777" w:rsidR="009D1CDF" w:rsidRPr="00507671" w:rsidRDefault="009D1CDF" w:rsidP="009D1CDF">
      <w:pPr>
        <w:spacing w:after="0"/>
        <w:jc w:val="both"/>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gridCol w:w="1276"/>
        <w:gridCol w:w="1275"/>
        <w:gridCol w:w="993"/>
        <w:gridCol w:w="1036"/>
      </w:tblGrid>
      <w:tr w:rsidR="009D1CDF" w:rsidRPr="00507671" w14:paraId="120CF77B" w14:textId="77777777" w:rsidTr="000752A4">
        <w:trPr>
          <w:trHeight w:val="353"/>
          <w:jc w:val="center"/>
        </w:trPr>
        <w:tc>
          <w:tcPr>
            <w:tcW w:w="4815" w:type="dxa"/>
            <w:vMerge w:val="restart"/>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6BDC18A2" w14:textId="77777777" w:rsidR="009D1CDF" w:rsidRPr="000752A4" w:rsidRDefault="009D1CDF" w:rsidP="000752A4">
            <w:pPr>
              <w:spacing w:after="0"/>
              <w:jc w:val="center"/>
              <w:rPr>
                <w:rFonts w:ascii="Verdana" w:hAnsi="Verdana"/>
                <w:b/>
                <w:sz w:val="16"/>
                <w:szCs w:val="16"/>
              </w:rPr>
            </w:pPr>
            <w:r w:rsidRPr="000752A4">
              <w:rPr>
                <w:rFonts w:ascii="Verdana" w:hAnsi="Verdana"/>
                <w:b/>
                <w:sz w:val="16"/>
                <w:szCs w:val="16"/>
              </w:rPr>
              <w:t>Activos</w:t>
            </w:r>
          </w:p>
        </w:tc>
        <w:tc>
          <w:tcPr>
            <w:tcW w:w="4580" w:type="dxa"/>
            <w:gridSpan w:val="4"/>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75A9E6ED" w14:textId="77777777" w:rsidR="009D1CDF" w:rsidRPr="000752A4" w:rsidRDefault="009D1CDF" w:rsidP="000752A4">
            <w:pPr>
              <w:spacing w:after="0"/>
              <w:jc w:val="center"/>
              <w:rPr>
                <w:rFonts w:ascii="Verdana" w:hAnsi="Verdana"/>
                <w:b/>
                <w:sz w:val="16"/>
                <w:szCs w:val="16"/>
              </w:rPr>
            </w:pPr>
            <w:r w:rsidRPr="000752A4">
              <w:rPr>
                <w:rFonts w:ascii="Verdana" w:hAnsi="Verdana"/>
                <w:b/>
                <w:sz w:val="16"/>
                <w:szCs w:val="16"/>
              </w:rPr>
              <w:t>Calificación crediticia soberana de largo plazo</w:t>
            </w:r>
          </w:p>
        </w:tc>
      </w:tr>
      <w:tr w:rsidR="009D1CDF" w:rsidRPr="00507671" w14:paraId="155AED61" w14:textId="77777777" w:rsidTr="000752A4">
        <w:trPr>
          <w:trHeight w:val="600"/>
          <w:jc w:val="center"/>
        </w:trPr>
        <w:tc>
          <w:tcPr>
            <w:tcW w:w="0" w:type="auto"/>
            <w:vMerge/>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167ED405" w14:textId="77777777" w:rsidR="009D1CDF" w:rsidRPr="000752A4" w:rsidRDefault="009D1CDF" w:rsidP="000752A4">
            <w:pPr>
              <w:spacing w:after="0"/>
              <w:jc w:val="center"/>
              <w:rPr>
                <w:rFonts w:ascii="Verdana" w:hAnsi="Verdana"/>
                <w:b/>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1A988F59" w14:textId="77777777" w:rsidR="009D1CDF" w:rsidRPr="000752A4" w:rsidRDefault="009D1CDF" w:rsidP="000752A4">
            <w:pPr>
              <w:spacing w:after="0"/>
              <w:jc w:val="center"/>
              <w:rPr>
                <w:rFonts w:ascii="Verdana" w:hAnsi="Verdana"/>
                <w:b/>
                <w:sz w:val="16"/>
                <w:szCs w:val="16"/>
              </w:rPr>
            </w:pPr>
            <w:r w:rsidRPr="000752A4">
              <w:rPr>
                <w:rFonts w:ascii="Verdana" w:hAnsi="Verdana"/>
                <w:b/>
                <w:sz w:val="16"/>
                <w:szCs w:val="16"/>
              </w:rPr>
              <w:t>AAA hasta BBB-</w:t>
            </w:r>
          </w:p>
        </w:tc>
        <w:tc>
          <w:tcPr>
            <w:tcW w:w="1275"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69C00067" w14:textId="77777777" w:rsidR="009D1CDF" w:rsidRPr="000752A4" w:rsidRDefault="009D1CDF" w:rsidP="000752A4">
            <w:pPr>
              <w:spacing w:after="0"/>
              <w:jc w:val="center"/>
              <w:rPr>
                <w:rFonts w:ascii="Verdana" w:hAnsi="Verdana"/>
                <w:b/>
                <w:sz w:val="16"/>
                <w:szCs w:val="16"/>
              </w:rPr>
            </w:pPr>
            <w:r w:rsidRPr="000752A4">
              <w:rPr>
                <w:rFonts w:ascii="Verdana" w:hAnsi="Verdana"/>
                <w:b/>
                <w:sz w:val="16"/>
                <w:szCs w:val="16"/>
              </w:rPr>
              <w:t>BB+ hasta BB-</w:t>
            </w:r>
          </w:p>
        </w:tc>
        <w:tc>
          <w:tcPr>
            <w:tcW w:w="993"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05DC5CAB" w14:textId="77777777" w:rsidR="009D1CDF" w:rsidRPr="000752A4" w:rsidRDefault="009D1CDF" w:rsidP="000752A4">
            <w:pPr>
              <w:spacing w:after="0"/>
              <w:jc w:val="center"/>
              <w:rPr>
                <w:rFonts w:ascii="Verdana" w:hAnsi="Verdana"/>
                <w:b/>
                <w:sz w:val="16"/>
                <w:szCs w:val="16"/>
              </w:rPr>
            </w:pPr>
            <w:r w:rsidRPr="000752A4">
              <w:rPr>
                <w:rFonts w:ascii="Verdana" w:hAnsi="Verdana"/>
                <w:b/>
                <w:sz w:val="16"/>
                <w:szCs w:val="16"/>
              </w:rPr>
              <w:t xml:space="preserve">B+ </w:t>
            </w:r>
            <w:r w:rsidRPr="000752A4">
              <w:rPr>
                <w:rFonts w:ascii="Verdana" w:hAnsi="Verdana"/>
                <w:b/>
                <w:sz w:val="16"/>
                <w:szCs w:val="16"/>
              </w:rPr>
              <w:br/>
              <w:t>hasta B-</w:t>
            </w:r>
          </w:p>
        </w:tc>
        <w:tc>
          <w:tcPr>
            <w:tcW w:w="1036"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71DBB926" w14:textId="77777777" w:rsidR="009D1CDF" w:rsidRPr="000752A4" w:rsidRDefault="009D1CDF" w:rsidP="000752A4">
            <w:pPr>
              <w:spacing w:after="0"/>
              <w:jc w:val="center"/>
              <w:rPr>
                <w:rFonts w:ascii="Verdana" w:hAnsi="Verdana"/>
                <w:b/>
                <w:sz w:val="16"/>
                <w:szCs w:val="16"/>
              </w:rPr>
            </w:pPr>
            <w:r w:rsidRPr="000752A4">
              <w:rPr>
                <w:rFonts w:ascii="Verdana" w:hAnsi="Verdana"/>
                <w:b/>
                <w:sz w:val="16"/>
                <w:szCs w:val="16"/>
              </w:rPr>
              <w:t>Inferior a B-</w:t>
            </w:r>
          </w:p>
        </w:tc>
      </w:tr>
      <w:tr w:rsidR="009D1CDF" w:rsidRPr="00507671" w14:paraId="672437B1" w14:textId="77777777">
        <w:trPr>
          <w:trHeight w:val="264"/>
          <w:jc w:val="center"/>
        </w:trPr>
        <w:tc>
          <w:tcPr>
            <w:tcW w:w="4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515E68" w14:textId="77777777" w:rsidR="009D1CDF" w:rsidRPr="000752A4" w:rsidRDefault="009D1CDF">
            <w:pPr>
              <w:spacing w:after="0"/>
              <w:jc w:val="both"/>
              <w:rPr>
                <w:rFonts w:ascii="Verdana" w:hAnsi="Verdana"/>
                <w:bCs/>
                <w:sz w:val="16"/>
                <w:szCs w:val="16"/>
              </w:rPr>
            </w:pPr>
            <w:r w:rsidRPr="000752A4">
              <w:rPr>
                <w:rFonts w:ascii="Verdana" w:hAnsi="Verdana"/>
                <w:bCs/>
                <w:sz w:val="16"/>
                <w:szCs w:val="16"/>
              </w:rPr>
              <w:t>Activos, exposiciones y contingencias frente a micro, pequeñas y medianas empresas y personas naturales.</w:t>
            </w: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9F9027" w14:textId="77777777" w:rsidR="009D1CDF" w:rsidRPr="000752A4" w:rsidRDefault="009D1CDF" w:rsidP="003D025D">
            <w:pPr>
              <w:spacing w:after="0"/>
              <w:jc w:val="center"/>
              <w:rPr>
                <w:rFonts w:ascii="Verdana" w:hAnsi="Verdana"/>
                <w:bCs/>
                <w:sz w:val="16"/>
                <w:szCs w:val="16"/>
              </w:rPr>
            </w:pPr>
            <w:r w:rsidRPr="000752A4">
              <w:rPr>
                <w:rFonts w:ascii="Verdana" w:hAnsi="Verdana"/>
                <w:bCs/>
                <w:sz w:val="16"/>
                <w:szCs w:val="16"/>
              </w:rPr>
              <w:t>75%</w:t>
            </w:r>
          </w:p>
        </w:tc>
        <w:tc>
          <w:tcPr>
            <w:tcW w:w="330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C69EFDF" w14:textId="77777777" w:rsidR="009D1CDF" w:rsidRPr="000752A4" w:rsidRDefault="009D1CDF" w:rsidP="003D025D">
            <w:pPr>
              <w:spacing w:after="0"/>
              <w:jc w:val="center"/>
              <w:rPr>
                <w:rFonts w:ascii="Verdana" w:hAnsi="Verdana"/>
                <w:bCs/>
                <w:sz w:val="16"/>
                <w:szCs w:val="16"/>
              </w:rPr>
            </w:pPr>
            <w:r w:rsidRPr="000752A4">
              <w:rPr>
                <w:rFonts w:ascii="Verdana" w:hAnsi="Verdana"/>
                <w:bCs/>
                <w:sz w:val="16"/>
                <w:szCs w:val="16"/>
              </w:rPr>
              <w:t>100%</w:t>
            </w:r>
          </w:p>
        </w:tc>
      </w:tr>
      <w:tr w:rsidR="009D1CDF" w:rsidRPr="00507671" w14:paraId="33AFC93D" w14:textId="77777777">
        <w:trPr>
          <w:trHeight w:val="264"/>
          <w:jc w:val="center"/>
        </w:trPr>
        <w:tc>
          <w:tcPr>
            <w:tcW w:w="4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7980E7" w14:textId="77777777" w:rsidR="009D1CDF" w:rsidRPr="000752A4" w:rsidRDefault="009D1CDF">
            <w:pPr>
              <w:spacing w:after="0"/>
              <w:jc w:val="both"/>
              <w:rPr>
                <w:rFonts w:ascii="Verdana" w:hAnsi="Verdana"/>
                <w:bCs/>
                <w:sz w:val="16"/>
                <w:szCs w:val="16"/>
              </w:rPr>
            </w:pPr>
            <w:r w:rsidRPr="000752A4">
              <w:rPr>
                <w:rFonts w:ascii="Verdana" w:hAnsi="Verdana"/>
                <w:bCs/>
                <w:sz w:val="16"/>
                <w:szCs w:val="16"/>
              </w:rPr>
              <w:t>Exposición crediticia en instrumentos financieros derivados frente a pequeñas y medianas empresas.</w:t>
            </w: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530493" w14:textId="77777777" w:rsidR="009D1CDF" w:rsidRPr="000752A4" w:rsidRDefault="009D1CDF" w:rsidP="003D025D">
            <w:pPr>
              <w:spacing w:after="0"/>
              <w:jc w:val="center"/>
              <w:rPr>
                <w:rFonts w:ascii="Verdana" w:hAnsi="Verdana"/>
                <w:bCs/>
                <w:sz w:val="16"/>
                <w:szCs w:val="16"/>
              </w:rPr>
            </w:pPr>
            <w:r w:rsidRPr="000752A4">
              <w:rPr>
                <w:rFonts w:ascii="Verdana" w:hAnsi="Verdana"/>
                <w:bCs/>
                <w:sz w:val="16"/>
                <w:szCs w:val="16"/>
              </w:rPr>
              <w:t>85%</w:t>
            </w:r>
          </w:p>
        </w:tc>
        <w:tc>
          <w:tcPr>
            <w:tcW w:w="330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E3292E" w14:textId="77777777" w:rsidR="009D1CDF" w:rsidRPr="000752A4" w:rsidRDefault="009D1CDF" w:rsidP="003D025D">
            <w:pPr>
              <w:spacing w:after="0"/>
              <w:jc w:val="center"/>
              <w:rPr>
                <w:rFonts w:ascii="Verdana" w:hAnsi="Verdana"/>
                <w:bCs/>
                <w:sz w:val="16"/>
                <w:szCs w:val="16"/>
              </w:rPr>
            </w:pPr>
            <w:r w:rsidRPr="000752A4">
              <w:rPr>
                <w:rFonts w:ascii="Verdana" w:hAnsi="Verdana"/>
                <w:bCs/>
                <w:sz w:val="16"/>
                <w:szCs w:val="16"/>
              </w:rPr>
              <w:t>100%</w:t>
            </w:r>
          </w:p>
        </w:tc>
      </w:tr>
      <w:tr w:rsidR="009D1CDF" w:rsidRPr="00507671" w14:paraId="748A2B58" w14:textId="77777777">
        <w:trPr>
          <w:trHeight w:val="264"/>
          <w:jc w:val="center"/>
        </w:trPr>
        <w:tc>
          <w:tcPr>
            <w:tcW w:w="4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C808D7" w14:textId="77777777" w:rsidR="009D1CDF" w:rsidRPr="000752A4" w:rsidRDefault="009D1CDF">
            <w:pPr>
              <w:spacing w:after="0"/>
              <w:jc w:val="both"/>
              <w:rPr>
                <w:rFonts w:ascii="Verdana" w:hAnsi="Verdana"/>
                <w:bCs/>
                <w:sz w:val="16"/>
                <w:szCs w:val="16"/>
              </w:rPr>
            </w:pPr>
            <w:r w:rsidRPr="000752A4">
              <w:rPr>
                <w:rFonts w:ascii="Verdana" w:hAnsi="Verdana"/>
                <w:bCs/>
                <w:sz w:val="16"/>
                <w:szCs w:val="16"/>
              </w:rPr>
              <w:t>Exposición crediticia en instrumentos financieros derivados frente a microempresas y personas naturales.</w:t>
            </w:r>
          </w:p>
        </w:tc>
        <w:tc>
          <w:tcPr>
            <w:tcW w:w="4580"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081E97" w14:textId="77777777" w:rsidR="009D1CDF" w:rsidRPr="000752A4" w:rsidRDefault="009D1CDF" w:rsidP="003D025D">
            <w:pPr>
              <w:spacing w:after="0"/>
              <w:jc w:val="center"/>
              <w:rPr>
                <w:rFonts w:ascii="Verdana" w:hAnsi="Verdana"/>
                <w:bCs/>
                <w:sz w:val="16"/>
                <w:szCs w:val="16"/>
              </w:rPr>
            </w:pPr>
            <w:r w:rsidRPr="000752A4">
              <w:rPr>
                <w:rFonts w:ascii="Verdana" w:hAnsi="Verdana"/>
                <w:bCs/>
                <w:sz w:val="16"/>
                <w:szCs w:val="16"/>
              </w:rPr>
              <w:t>100%</w:t>
            </w:r>
          </w:p>
        </w:tc>
      </w:tr>
    </w:tbl>
    <w:p w14:paraId="73ADBA6A" w14:textId="77777777" w:rsidR="009D1CDF" w:rsidRPr="00507671" w:rsidRDefault="009D1CDF" w:rsidP="009D1CDF">
      <w:pPr>
        <w:spacing w:after="0"/>
        <w:jc w:val="both"/>
        <w:rPr>
          <w:rFonts w:ascii="Verdana" w:hAnsi="Verdana"/>
          <w:b/>
          <w:sz w:val="20"/>
          <w:szCs w:val="20"/>
        </w:rPr>
      </w:pPr>
    </w:p>
    <w:p w14:paraId="3F64C118" w14:textId="386065F9" w:rsidR="00EF37AA" w:rsidRDefault="00EF37AA" w:rsidP="00EF37AA">
      <w:pPr>
        <w:spacing w:after="0"/>
        <w:jc w:val="both"/>
        <w:rPr>
          <w:rFonts w:ascii="Verdana" w:hAnsi="Verdana"/>
          <w:sz w:val="20"/>
          <w:szCs w:val="20"/>
        </w:rPr>
      </w:pPr>
      <w:r>
        <w:rPr>
          <w:rFonts w:ascii="Verdana" w:hAnsi="Verdana"/>
          <w:sz w:val="20"/>
          <w:szCs w:val="20"/>
        </w:rPr>
        <w:t>2.5.</w:t>
      </w:r>
      <w:r w:rsidR="00B11FFD">
        <w:rPr>
          <w:rFonts w:ascii="Verdana" w:hAnsi="Verdana"/>
          <w:sz w:val="20"/>
          <w:szCs w:val="20"/>
        </w:rPr>
        <w:t>37</w:t>
      </w:r>
      <w:r>
        <w:rPr>
          <w:rFonts w:ascii="Verdana" w:hAnsi="Verdana"/>
          <w:sz w:val="20"/>
          <w:szCs w:val="20"/>
        </w:rPr>
        <w:t>.</w:t>
      </w:r>
    </w:p>
    <w:p w14:paraId="6AD560A1" w14:textId="77777777" w:rsidR="009D1CDF" w:rsidRPr="00507671" w:rsidRDefault="009D1CDF" w:rsidP="009D1CDF">
      <w:pPr>
        <w:spacing w:after="0"/>
        <w:jc w:val="both"/>
        <w:rPr>
          <w:rFonts w:ascii="Verdana" w:hAnsi="Verdana"/>
          <w:bCs/>
          <w:sz w:val="20"/>
          <w:szCs w:val="20"/>
        </w:rPr>
      </w:pPr>
      <w:r w:rsidRPr="00507671">
        <w:rPr>
          <w:rFonts w:ascii="Verdana" w:hAnsi="Verdana"/>
          <w:bCs/>
          <w:sz w:val="20"/>
          <w:szCs w:val="20"/>
        </w:rPr>
        <w:t>Cuando no se cuente con la definición legal de micro, pequeña y mediana empresa, los activos, exposiciones y contingencias de las subordinadas del exterior deben ponderar al 100%.</w:t>
      </w:r>
    </w:p>
    <w:p w14:paraId="54FF945B" w14:textId="77777777" w:rsidR="00254655" w:rsidRPr="00507671" w:rsidRDefault="00254655" w:rsidP="009D1CDF">
      <w:pPr>
        <w:spacing w:after="0"/>
        <w:jc w:val="both"/>
        <w:rPr>
          <w:rFonts w:ascii="Verdana" w:hAnsi="Verdana"/>
          <w:sz w:val="20"/>
          <w:szCs w:val="20"/>
        </w:rPr>
      </w:pPr>
    </w:p>
    <w:p w14:paraId="63EE0693" w14:textId="1FEF048D" w:rsidR="009D1CDF" w:rsidRPr="000752A4" w:rsidRDefault="000752A4" w:rsidP="000752A4">
      <w:pPr>
        <w:pStyle w:val="Prrafodelista"/>
        <w:numPr>
          <w:ilvl w:val="0"/>
          <w:numId w:val="20"/>
        </w:numPr>
        <w:spacing w:after="0"/>
        <w:ind w:left="284" w:hanging="284"/>
        <w:jc w:val="both"/>
        <w:rPr>
          <w:rFonts w:ascii="Verdana" w:hAnsi="Verdana"/>
          <w:b/>
          <w:sz w:val="20"/>
          <w:szCs w:val="20"/>
        </w:rPr>
      </w:pPr>
      <w:r w:rsidRPr="000752A4">
        <w:rPr>
          <w:rFonts w:ascii="Verdana" w:hAnsi="Verdana"/>
          <w:b/>
          <w:sz w:val="20"/>
          <w:szCs w:val="20"/>
        </w:rPr>
        <w:t>Entidades aseguradoras</w:t>
      </w:r>
    </w:p>
    <w:p w14:paraId="3D7F14A3" w14:textId="77777777" w:rsidR="009D1CDF" w:rsidRPr="00507671" w:rsidRDefault="009D1CDF" w:rsidP="009D1CDF">
      <w:pPr>
        <w:spacing w:after="0"/>
        <w:jc w:val="both"/>
        <w:rPr>
          <w:rFonts w:ascii="Verdana" w:hAnsi="Verdana"/>
          <w:sz w:val="20"/>
          <w:szCs w:val="20"/>
        </w:rPr>
      </w:pPr>
    </w:p>
    <w:p w14:paraId="1C11FC59" w14:textId="76F27C6A" w:rsidR="00EF37AA" w:rsidRDefault="00EF37AA" w:rsidP="00EF37AA">
      <w:pPr>
        <w:spacing w:after="0"/>
        <w:jc w:val="both"/>
        <w:rPr>
          <w:rFonts w:ascii="Verdana" w:hAnsi="Verdana"/>
          <w:sz w:val="20"/>
          <w:szCs w:val="20"/>
        </w:rPr>
      </w:pPr>
      <w:r>
        <w:rPr>
          <w:rFonts w:ascii="Verdana" w:hAnsi="Verdana"/>
          <w:sz w:val="20"/>
          <w:szCs w:val="20"/>
        </w:rPr>
        <w:t>2.5.</w:t>
      </w:r>
      <w:r w:rsidR="00B11FFD">
        <w:rPr>
          <w:rFonts w:ascii="Verdana" w:hAnsi="Verdana"/>
          <w:sz w:val="20"/>
          <w:szCs w:val="20"/>
        </w:rPr>
        <w:t>38</w:t>
      </w:r>
      <w:r>
        <w:rPr>
          <w:rFonts w:ascii="Verdana" w:hAnsi="Verdana"/>
          <w:sz w:val="20"/>
          <w:szCs w:val="20"/>
        </w:rPr>
        <w:t>.</w:t>
      </w:r>
    </w:p>
    <w:p w14:paraId="4F4785E2" w14:textId="37B3ED80" w:rsidR="009D1CDF" w:rsidRPr="00507671" w:rsidRDefault="009D1CDF" w:rsidP="009D1CDF">
      <w:pPr>
        <w:spacing w:after="0"/>
        <w:jc w:val="both"/>
        <w:rPr>
          <w:rFonts w:ascii="Verdana" w:hAnsi="Verdana"/>
          <w:sz w:val="20"/>
          <w:szCs w:val="20"/>
        </w:rPr>
      </w:pPr>
      <w:r w:rsidRPr="00507671">
        <w:rPr>
          <w:rFonts w:ascii="Verdana" w:hAnsi="Verdana"/>
          <w:sz w:val="20"/>
          <w:szCs w:val="20"/>
        </w:rPr>
        <w:t xml:space="preserve">Para las subordinadas que las compañías de seguros, el holding financiero debe efectuar el cálculo del patrimonio adecuado conforme a los requisitos establecidos para este tipo de entidad en el Decreto 2555 de 2010. Para la determinación de cada uno de los 3 componentes de riesgo definidos en el artículo 2.31.1.2.5 del Decreto 2555 de 2010, y </w:t>
      </w:r>
      <w:r w:rsidRPr="00507671">
        <w:rPr>
          <w:rFonts w:ascii="Verdana" w:hAnsi="Verdana"/>
          <w:sz w:val="20"/>
          <w:szCs w:val="20"/>
        </w:rPr>
        <w:lastRenderedPageBreak/>
        <w:t>las normas</w:t>
      </w:r>
      <w:r w:rsidR="00E77F19" w:rsidRPr="00507671">
        <w:rPr>
          <w:rFonts w:ascii="Verdana" w:hAnsi="Verdana"/>
          <w:sz w:val="20"/>
          <w:szCs w:val="20"/>
        </w:rPr>
        <w:t xml:space="preserve"> </w:t>
      </w:r>
      <w:r w:rsidRPr="00507671">
        <w:rPr>
          <w:rFonts w:ascii="Verdana" w:hAnsi="Verdana"/>
          <w:sz w:val="20"/>
          <w:szCs w:val="20"/>
        </w:rPr>
        <w:t>que lo modifiquen o sustituyan y el cumplimiento de las respectivas fórmulas, el holding financiero debe aplicar las siguientes instrucciones:</w:t>
      </w:r>
    </w:p>
    <w:p w14:paraId="5523C204" w14:textId="77777777" w:rsidR="00E61123" w:rsidRPr="00507671" w:rsidRDefault="00E61123" w:rsidP="009D1CDF">
      <w:pPr>
        <w:spacing w:after="0"/>
        <w:jc w:val="both"/>
        <w:rPr>
          <w:rFonts w:ascii="Verdana" w:hAnsi="Verdana"/>
          <w:b/>
          <w:sz w:val="20"/>
          <w:szCs w:val="20"/>
        </w:rPr>
      </w:pPr>
    </w:p>
    <w:p w14:paraId="33218669" w14:textId="30724642" w:rsidR="009D1CDF" w:rsidRPr="000752A4" w:rsidRDefault="000752A4" w:rsidP="000752A4">
      <w:pPr>
        <w:pStyle w:val="Prrafodelista"/>
        <w:numPr>
          <w:ilvl w:val="0"/>
          <w:numId w:val="21"/>
        </w:numPr>
        <w:spacing w:after="0"/>
        <w:ind w:left="567" w:hanging="283"/>
        <w:jc w:val="both"/>
        <w:rPr>
          <w:rFonts w:ascii="Verdana" w:hAnsi="Verdana"/>
          <w:b/>
          <w:sz w:val="20"/>
          <w:szCs w:val="20"/>
        </w:rPr>
      </w:pPr>
      <w:r w:rsidRPr="000752A4">
        <w:rPr>
          <w:rFonts w:ascii="Verdana" w:hAnsi="Verdana"/>
          <w:b/>
          <w:sz w:val="20"/>
          <w:szCs w:val="20"/>
        </w:rPr>
        <w:t>Riesgo de suscripción</w:t>
      </w:r>
    </w:p>
    <w:p w14:paraId="282E44E2" w14:textId="77777777" w:rsidR="009D1CDF" w:rsidRPr="00507671" w:rsidRDefault="009D1CDF" w:rsidP="009D1CDF">
      <w:pPr>
        <w:spacing w:after="0"/>
        <w:jc w:val="both"/>
        <w:rPr>
          <w:rFonts w:ascii="Verdana" w:hAnsi="Verdana"/>
          <w:sz w:val="20"/>
          <w:szCs w:val="20"/>
        </w:rPr>
      </w:pPr>
    </w:p>
    <w:p w14:paraId="73A1D4C7" w14:textId="77777777" w:rsidR="00E61123" w:rsidRDefault="00FB24D9" w:rsidP="00E61123">
      <w:pPr>
        <w:pStyle w:val="Prrafodelista"/>
        <w:numPr>
          <w:ilvl w:val="0"/>
          <w:numId w:val="22"/>
        </w:numPr>
        <w:spacing w:after="0"/>
        <w:ind w:left="851" w:hanging="284"/>
        <w:jc w:val="both"/>
        <w:rPr>
          <w:rFonts w:ascii="Verdana" w:hAnsi="Verdana"/>
          <w:b/>
          <w:sz w:val="20"/>
          <w:szCs w:val="20"/>
        </w:rPr>
      </w:pPr>
      <w:r w:rsidRPr="00E61123">
        <w:rPr>
          <w:rFonts w:ascii="Verdana" w:hAnsi="Verdana"/>
          <w:b/>
          <w:sz w:val="20"/>
          <w:szCs w:val="20"/>
        </w:rPr>
        <w:t>Entidades de seguros generales</w:t>
      </w:r>
    </w:p>
    <w:p w14:paraId="21321CB0" w14:textId="77777777" w:rsidR="00E61123" w:rsidRDefault="00E61123" w:rsidP="00E61123">
      <w:pPr>
        <w:pStyle w:val="Prrafodelista"/>
        <w:spacing w:after="0"/>
        <w:ind w:left="851"/>
        <w:jc w:val="both"/>
        <w:rPr>
          <w:rFonts w:ascii="Verdana" w:hAnsi="Verdana"/>
          <w:b/>
          <w:sz w:val="20"/>
          <w:szCs w:val="20"/>
        </w:rPr>
      </w:pPr>
    </w:p>
    <w:p w14:paraId="4840047A" w14:textId="14A88CE6" w:rsidR="00E13263" w:rsidRPr="00E61123" w:rsidRDefault="009D1CDF" w:rsidP="008A5ABF">
      <w:pPr>
        <w:pStyle w:val="Prrafodelista"/>
        <w:numPr>
          <w:ilvl w:val="0"/>
          <w:numId w:val="22"/>
        </w:numPr>
        <w:spacing w:after="0"/>
        <w:ind w:left="1134" w:hanging="283"/>
        <w:jc w:val="both"/>
        <w:rPr>
          <w:rFonts w:ascii="Verdana" w:hAnsi="Verdana"/>
          <w:b/>
          <w:bCs/>
          <w:sz w:val="20"/>
          <w:szCs w:val="20"/>
        </w:rPr>
      </w:pPr>
      <w:r w:rsidRPr="00E61123">
        <w:rPr>
          <w:rFonts w:ascii="Verdana" w:hAnsi="Verdana"/>
          <w:b/>
          <w:bCs/>
          <w:sz w:val="20"/>
          <w:szCs w:val="20"/>
        </w:rPr>
        <w:t>Determinación de los límites expresados en Unidades de Valor Real (UVR)</w:t>
      </w:r>
    </w:p>
    <w:p w14:paraId="3B4783D3" w14:textId="77777777" w:rsidR="00E13263" w:rsidRDefault="00E13263" w:rsidP="00FB46A4">
      <w:pPr>
        <w:spacing w:after="0"/>
        <w:jc w:val="both"/>
        <w:rPr>
          <w:rFonts w:ascii="Verdana" w:hAnsi="Verdana"/>
          <w:sz w:val="20"/>
          <w:szCs w:val="20"/>
        </w:rPr>
      </w:pPr>
    </w:p>
    <w:p w14:paraId="05EAE5CC" w14:textId="6692174D" w:rsidR="00E13263" w:rsidRDefault="00E13263" w:rsidP="00E13263">
      <w:pPr>
        <w:spacing w:after="0"/>
        <w:jc w:val="both"/>
        <w:rPr>
          <w:rFonts w:ascii="Verdana" w:hAnsi="Verdana"/>
          <w:sz w:val="20"/>
          <w:szCs w:val="20"/>
        </w:rPr>
      </w:pPr>
      <w:r>
        <w:rPr>
          <w:rFonts w:ascii="Verdana" w:hAnsi="Verdana"/>
          <w:sz w:val="20"/>
          <w:szCs w:val="20"/>
        </w:rPr>
        <w:t>2.5.</w:t>
      </w:r>
      <w:r w:rsidR="00B11FFD">
        <w:rPr>
          <w:rFonts w:ascii="Verdana" w:hAnsi="Verdana"/>
          <w:sz w:val="20"/>
          <w:szCs w:val="20"/>
        </w:rPr>
        <w:t>39</w:t>
      </w:r>
      <w:r>
        <w:rPr>
          <w:rFonts w:ascii="Verdana" w:hAnsi="Verdana"/>
          <w:sz w:val="20"/>
          <w:szCs w:val="20"/>
        </w:rPr>
        <w:t>.</w:t>
      </w:r>
    </w:p>
    <w:p w14:paraId="447931F5" w14:textId="20B21980" w:rsidR="009D1CDF" w:rsidRPr="00FB46A4" w:rsidRDefault="009D1CDF" w:rsidP="00FB46A4">
      <w:pPr>
        <w:spacing w:after="0"/>
        <w:jc w:val="both"/>
        <w:rPr>
          <w:rFonts w:ascii="Verdana" w:hAnsi="Verdana"/>
          <w:sz w:val="20"/>
          <w:szCs w:val="20"/>
        </w:rPr>
      </w:pPr>
      <w:r w:rsidRPr="00FB46A4">
        <w:rPr>
          <w:rFonts w:ascii="Verdana" w:hAnsi="Verdana"/>
          <w:sz w:val="20"/>
          <w:szCs w:val="20"/>
        </w:rPr>
        <w:t>En la aplicación por primera vez, la entidad debe tomar como fuente de información las estadísticas publicadas por el supervisor de seguros del respectivo país de cada subordinada, conforme a las siguientes instrucciones:</w:t>
      </w:r>
    </w:p>
    <w:p w14:paraId="787E4BDB" w14:textId="77777777" w:rsidR="009D1CDF" w:rsidRPr="00507671" w:rsidRDefault="009D1CDF" w:rsidP="009D1CDF">
      <w:pPr>
        <w:spacing w:after="0"/>
        <w:jc w:val="both"/>
        <w:rPr>
          <w:rFonts w:ascii="Verdana" w:hAnsi="Verdana"/>
          <w:sz w:val="20"/>
          <w:szCs w:val="20"/>
        </w:rPr>
      </w:pPr>
    </w:p>
    <w:p w14:paraId="49A10603" w14:textId="002FEE3E" w:rsidR="003A28D3" w:rsidRDefault="003A28D3" w:rsidP="003A28D3">
      <w:pPr>
        <w:spacing w:after="0"/>
        <w:jc w:val="both"/>
        <w:rPr>
          <w:rFonts w:ascii="Verdana" w:hAnsi="Verdana"/>
          <w:sz w:val="20"/>
          <w:szCs w:val="20"/>
        </w:rPr>
      </w:pPr>
      <w:r w:rsidRPr="543C6D08">
        <w:rPr>
          <w:rFonts w:ascii="Verdana" w:hAnsi="Verdana"/>
          <w:sz w:val="20"/>
          <w:szCs w:val="20"/>
        </w:rPr>
        <w:t>2.5.</w:t>
      </w:r>
      <w:r w:rsidR="5DBDCB4E" w:rsidRPr="543C6D08">
        <w:rPr>
          <w:rFonts w:ascii="Verdana" w:hAnsi="Verdana"/>
          <w:sz w:val="20"/>
          <w:szCs w:val="20"/>
        </w:rPr>
        <w:t>40</w:t>
      </w:r>
      <w:r w:rsidRPr="543C6D08">
        <w:rPr>
          <w:rFonts w:ascii="Verdana" w:hAnsi="Verdana"/>
          <w:sz w:val="20"/>
          <w:szCs w:val="20"/>
        </w:rPr>
        <w:t>.</w:t>
      </w:r>
    </w:p>
    <w:p w14:paraId="2031182E" w14:textId="2C83CE28" w:rsidR="009D1CDF" w:rsidRPr="003A28D3" w:rsidRDefault="009D1CDF" w:rsidP="003A28D3">
      <w:pPr>
        <w:spacing w:after="0"/>
        <w:jc w:val="both"/>
        <w:rPr>
          <w:rFonts w:ascii="Verdana" w:hAnsi="Verdana"/>
          <w:sz w:val="20"/>
          <w:szCs w:val="20"/>
        </w:rPr>
      </w:pPr>
      <w:r w:rsidRPr="003A28D3">
        <w:rPr>
          <w:rFonts w:ascii="Verdana" w:hAnsi="Verdana"/>
          <w:sz w:val="20"/>
          <w:szCs w:val="20"/>
        </w:rPr>
        <w:t xml:space="preserve">El tope de que trata el </w:t>
      </w:r>
      <w:r w:rsidRPr="003A28D3">
        <w:rPr>
          <w:rFonts w:ascii="Verdana" w:hAnsi="Verdana"/>
          <w:bCs/>
          <w:sz w:val="20"/>
          <w:szCs w:val="20"/>
        </w:rPr>
        <w:t>subnumeral 1.2 d</w:t>
      </w:r>
      <w:r w:rsidRPr="003A28D3">
        <w:rPr>
          <w:rFonts w:ascii="Verdana" w:hAnsi="Verdana"/>
          <w:sz w:val="20"/>
          <w:szCs w:val="20"/>
        </w:rPr>
        <w:t>el artículo 2.31.1.2.6 del Decreto 2555 de 2010, corresponderá al promedio simple de las medianas de los 5 años anteriores al de la fecha de cálculo del monto de primas emitidas acumuladas anuales (definidas como primas por ventas de seguros descontando anulaciones y cancelaciones, incluyendo las primas de aceptaciones en coaseguro y las primas de aceptaciones de reaseguro), que han sido acreditados por las entidades aseguradoras participantes del mercado del país objeto de cálculo.</w:t>
      </w:r>
    </w:p>
    <w:p w14:paraId="58CC1905" w14:textId="77777777" w:rsidR="003A28D3" w:rsidRDefault="003A28D3" w:rsidP="003A28D3">
      <w:pPr>
        <w:spacing w:after="0"/>
        <w:jc w:val="both"/>
        <w:rPr>
          <w:rFonts w:ascii="Verdana" w:hAnsi="Verdana"/>
          <w:sz w:val="20"/>
          <w:szCs w:val="20"/>
        </w:rPr>
      </w:pPr>
    </w:p>
    <w:p w14:paraId="49CCD099" w14:textId="1BDE1B80" w:rsidR="003A28D3" w:rsidRDefault="00EF37AA" w:rsidP="003A28D3">
      <w:pPr>
        <w:spacing w:after="0"/>
        <w:jc w:val="both"/>
        <w:rPr>
          <w:rFonts w:ascii="Verdana" w:hAnsi="Verdana"/>
          <w:sz w:val="20"/>
          <w:szCs w:val="20"/>
        </w:rPr>
      </w:pPr>
      <w:r w:rsidRPr="543C6D08">
        <w:rPr>
          <w:rFonts w:ascii="Verdana" w:hAnsi="Verdana"/>
          <w:sz w:val="20"/>
          <w:szCs w:val="20"/>
        </w:rPr>
        <w:t>2.5.</w:t>
      </w:r>
      <w:r w:rsidR="00DA5FB8" w:rsidRPr="543C6D08">
        <w:rPr>
          <w:rFonts w:ascii="Verdana" w:hAnsi="Verdana"/>
          <w:sz w:val="20"/>
          <w:szCs w:val="20"/>
        </w:rPr>
        <w:t>4</w:t>
      </w:r>
      <w:r w:rsidR="1F7CF589" w:rsidRPr="543C6D08">
        <w:rPr>
          <w:rFonts w:ascii="Verdana" w:hAnsi="Verdana"/>
          <w:sz w:val="20"/>
          <w:szCs w:val="20"/>
        </w:rPr>
        <w:t>1</w:t>
      </w:r>
      <w:r w:rsidRPr="543C6D08">
        <w:rPr>
          <w:rFonts w:ascii="Verdana" w:hAnsi="Verdana"/>
          <w:sz w:val="20"/>
          <w:szCs w:val="20"/>
        </w:rPr>
        <w:t>.</w:t>
      </w:r>
    </w:p>
    <w:p w14:paraId="4B785FE5" w14:textId="17B9B120" w:rsidR="009D1CDF" w:rsidRPr="00507671" w:rsidRDefault="009D1CDF" w:rsidP="003A28D3">
      <w:pPr>
        <w:spacing w:after="0"/>
        <w:jc w:val="both"/>
        <w:rPr>
          <w:rFonts w:ascii="Verdana" w:hAnsi="Verdana"/>
          <w:sz w:val="20"/>
          <w:szCs w:val="20"/>
        </w:rPr>
      </w:pPr>
      <w:r w:rsidRPr="00507671">
        <w:rPr>
          <w:rFonts w:ascii="Verdana" w:hAnsi="Verdana"/>
          <w:sz w:val="20"/>
          <w:szCs w:val="20"/>
        </w:rPr>
        <w:t>Para el cálculo de cada una de las medianas, los montos de primas anuales deben ser expresados en moneda local a precios constantes al cierre del año inmediatamente anterior a la fecha de cálculo.</w:t>
      </w:r>
    </w:p>
    <w:p w14:paraId="6403BF43" w14:textId="77777777" w:rsidR="009D1CDF" w:rsidRPr="00507671" w:rsidRDefault="009D1CDF" w:rsidP="009D1CDF">
      <w:pPr>
        <w:spacing w:after="0"/>
        <w:jc w:val="both"/>
        <w:rPr>
          <w:rFonts w:ascii="Verdana" w:hAnsi="Verdana"/>
          <w:sz w:val="20"/>
          <w:szCs w:val="20"/>
        </w:rPr>
      </w:pPr>
    </w:p>
    <w:p w14:paraId="291A6CB2" w14:textId="4DC234CD" w:rsidR="003A28D3" w:rsidRDefault="003A28D3" w:rsidP="003A28D3">
      <w:pPr>
        <w:spacing w:after="0"/>
        <w:jc w:val="both"/>
        <w:rPr>
          <w:rFonts w:ascii="Verdana" w:hAnsi="Verdana"/>
          <w:sz w:val="20"/>
          <w:szCs w:val="20"/>
        </w:rPr>
      </w:pPr>
      <w:r w:rsidRPr="543C6D08">
        <w:rPr>
          <w:rFonts w:ascii="Verdana" w:hAnsi="Verdana"/>
          <w:sz w:val="20"/>
          <w:szCs w:val="20"/>
        </w:rPr>
        <w:t>2.5.4</w:t>
      </w:r>
      <w:r w:rsidR="494AF62B" w:rsidRPr="543C6D08">
        <w:rPr>
          <w:rFonts w:ascii="Verdana" w:hAnsi="Verdana"/>
          <w:sz w:val="20"/>
          <w:szCs w:val="20"/>
        </w:rPr>
        <w:t>2</w:t>
      </w:r>
      <w:r w:rsidRPr="543C6D08">
        <w:rPr>
          <w:rFonts w:ascii="Verdana" w:hAnsi="Verdana"/>
          <w:sz w:val="20"/>
          <w:szCs w:val="20"/>
        </w:rPr>
        <w:t>.</w:t>
      </w:r>
    </w:p>
    <w:p w14:paraId="7ECD5CD4" w14:textId="75C8B1CB" w:rsidR="009D1CDF" w:rsidRPr="003A28D3" w:rsidRDefault="003A28D3" w:rsidP="003A28D3">
      <w:pPr>
        <w:spacing w:after="0"/>
        <w:jc w:val="both"/>
        <w:rPr>
          <w:rFonts w:ascii="Verdana" w:hAnsi="Verdana"/>
          <w:sz w:val="20"/>
          <w:szCs w:val="20"/>
        </w:rPr>
      </w:pPr>
      <w:r w:rsidRPr="003A28D3">
        <w:rPr>
          <w:rFonts w:ascii="Verdana" w:hAnsi="Verdana"/>
          <w:sz w:val="20"/>
          <w:szCs w:val="20"/>
        </w:rPr>
        <w:t>El</w:t>
      </w:r>
      <w:r w:rsidR="009D1CDF" w:rsidRPr="003A28D3">
        <w:rPr>
          <w:rFonts w:ascii="Verdana" w:hAnsi="Verdana"/>
          <w:sz w:val="20"/>
          <w:szCs w:val="20"/>
        </w:rPr>
        <w:t xml:space="preserve"> tope de que trata el </w:t>
      </w:r>
      <w:r w:rsidR="009D1CDF" w:rsidRPr="003A28D3">
        <w:rPr>
          <w:rFonts w:ascii="Verdana" w:hAnsi="Verdana"/>
          <w:bCs/>
          <w:sz w:val="20"/>
          <w:szCs w:val="20"/>
        </w:rPr>
        <w:t>subnumeral 2.3 del</w:t>
      </w:r>
      <w:r w:rsidR="009D1CDF" w:rsidRPr="003A28D3">
        <w:rPr>
          <w:rFonts w:ascii="Verdana" w:hAnsi="Verdana"/>
          <w:sz w:val="20"/>
          <w:szCs w:val="20"/>
        </w:rPr>
        <w:t xml:space="preserve"> artículo 2.31.1.2.6 del Decreto 2555 de 2010, corresponderá al promedio simple de las medianas de los 5 años anteriores al de la fecha de cálculo del monto de siniestros acumulados anuales (definidos como siniestros liquidados sin deducción de reaseguros, incluyendo los siniestros liquidados de aceptaciones en reaseguro y el saldo de las reservas técnicas de siniestros avisados bruta de reaseguro, deduciendo los recobros y salvamentos liquidados y realizados), que hayan sido acreditados por las entidades aseguradoras participantes del mercado del país objeto de cálculo.</w:t>
      </w:r>
    </w:p>
    <w:p w14:paraId="276F3C02" w14:textId="77777777" w:rsidR="009D1CDF" w:rsidRPr="00507671" w:rsidRDefault="009D1CDF" w:rsidP="009D1CDF">
      <w:pPr>
        <w:spacing w:after="0"/>
        <w:jc w:val="both"/>
        <w:rPr>
          <w:rFonts w:ascii="Verdana" w:hAnsi="Verdana"/>
          <w:sz w:val="20"/>
          <w:szCs w:val="20"/>
        </w:rPr>
      </w:pPr>
    </w:p>
    <w:p w14:paraId="6F292BCF" w14:textId="125E76F8" w:rsidR="003A28D3" w:rsidRDefault="003A28D3" w:rsidP="003A28D3">
      <w:pPr>
        <w:spacing w:after="0"/>
        <w:jc w:val="both"/>
        <w:rPr>
          <w:rFonts w:ascii="Verdana" w:hAnsi="Verdana"/>
          <w:sz w:val="20"/>
          <w:szCs w:val="20"/>
        </w:rPr>
      </w:pPr>
      <w:r w:rsidRPr="543C6D08">
        <w:rPr>
          <w:rFonts w:ascii="Verdana" w:hAnsi="Verdana"/>
          <w:sz w:val="20"/>
          <w:szCs w:val="20"/>
        </w:rPr>
        <w:t>2.5.4</w:t>
      </w:r>
      <w:r w:rsidR="7D5D1214" w:rsidRPr="543C6D08">
        <w:rPr>
          <w:rFonts w:ascii="Verdana" w:hAnsi="Verdana"/>
          <w:sz w:val="20"/>
          <w:szCs w:val="20"/>
        </w:rPr>
        <w:t>3</w:t>
      </w:r>
      <w:r w:rsidRPr="543C6D08">
        <w:rPr>
          <w:rFonts w:ascii="Verdana" w:hAnsi="Verdana"/>
          <w:sz w:val="20"/>
          <w:szCs w:val="20"/>
        </w:rPr>
        <w:t>.</w:t>
      </w:r>
    </w:p>
    <w:p w14:paraId="715DF077" w14:textId="19828EFA" w:rsidR="009D1CDF" w:rsidRPr="00507671" w:rsidRDefault="003A28D3" w:rsidP="003A28D3">
      <w:pPr>
        <w:spacing w:after="0"/>
        <w:jc w:val="both"/>
        <w:rPr>
          <w:rFonts w:ascii="Verdana" w:hAnsi="Verdana"/>
          <w:sz w:val="20"/>
          <w:szCs w:val="20"/>
        </w:rPr>
      </w:pPr>
      <w:r w:rsidRPr="00507671">
        <w:rPr>
          <w:rFonts w:ascii="Verdana" w:hAnsi="Verdana"/>
          <w:sz w:val="20"/>
          <w:szCs w:val="20"/>
        </w:rPr>
        <w:t xml:space="preserve">Para </w:t>
      </w:r>
      <w:r w:rsidR="009D1CDF" w:rsidRPr="00507671">
        <w:rPr>
          <w:rFonts w:ascii="Verdana" w:hAnsi="Verdana"/>
          <w:sz w:val="20"/>
          <w:szCs w:val="20"/>
        </w:rPr>
        <w:t>el cálculo de cada una de las medianas, los montos de siniestros deben ser expresados en moneda local a precios constantes al cierre del año inmediatamente anterior de la fecha de cálculo.</w:t>
      </w:r>
    </w:p>
    <w:p w14:paraId="3BDEF9F8" w14:textId="77777777" w:rsidR="009D1CDF" w:rsidRPr="00507671" w:rsidRDefault="009D1CDF" w:rsidP="009D1CDF">
      <w:pPr>
        <w:spacing w:after="0"/>
        <w:jc w:val="both"/>
        <w:rPr>
          <w:rFonts w:ascii="Verdana" w:hAnsi="Verdana"/>
          <w:sz w:val="20"/>
          <w:szCs w:val="20"/>
        </w:rPr>
      </w:pPr>
    </w:p>
    <w:p w14:paraId="0357C0D7" w14:textId="2D6AE86F" w:rsidR="003A28D3" w:rsidRDefault="003A28D3" w:rsidP="003A28D3">
      <w:pPr>
        <w:spacing w:after="0"/>
        <w:jc w:val="both"/>
        <w:rPr>
          <w:rFonts w:ascii="Verdana" w:hAnsi="Verdana"/>
          <w:sz w:val="20"/>
          <w:szCs w:val="20"/>
        </w:rPr>
      </w:pPr>
      <w:r w:rsidRPr="543C6D08">
        <w:rPr>
          <w:rFonts w:ascii="Verdana" w:hAnsi="Verdana"/>
          <w:sz w:val="20"/>
          <w:szCs w:val="20"/>
        </w:rPr>
        <w:t>2.5.4</w:t>
      </w:r>
      <w:r w:rsidR="0C3F6932" w:rsidRPr="543C6D08">
        <w:rPr>
          <w:rFonts w:ascii="Verdana" w:hAnsi="Verdana"/>
          <w:sz w:val="20"/>
          <w:szCs w:val="20"/>
        </w:rPr>
        <w:t>4</w:t>
      </w:r>
      <w:r w:rsidRPr="543C6D08">
        <w:rPr>
          <w:rFonts w:ascii="Verdana" w:hAnsi="Verdana"/>
          <w:sz w:val="20"/>
          <w:szCs w:val="20"/>
        </w:rPr>
        <w:t>.</w:t>
      </w:r>
    </w:p>
    <w:p w14:paraId="7551B3F4" w14:textId="1098CBDF" w:rsidR="003A28D3" w:rsidRDefault="009D1CDF" w:rsidP="003A28D3">
      <w:pPr>
        <w:spacing w:after="0"/>
        <w:jc w:val="both"/>
        <w:rPr>
          <w:rFonts w:ascii="Verdana" w:hAnsi="Verdana"/>
          <w:sz w:val="20"/>
          <w:szCs w:val="20"/>
        </w:rPr>
      </w:pPr>
      <w:r w:rsidRPr="003A28D3">
        <w:rPr>
          <w:rFonts w:ascii="Verdana" w:hAnsi="Verdana"/>
          <w:sz w:val="20"/>
          <w:szCs w:val="20"/>
        </w:rPr>
        <w:t xml:space="preserve">A partir de la determinación por primera vez de los límites señalados en los </w:t>
      </w:r>
      <w:r w:rsidR="006260A2">
        <w:rPr>
          <w:rFonts w:ascii="Verdana" w:hAnsi="Verdana"/>
          <w:sz w:val="20"/>
          <w:szCs w:val="20"/>
        </w:rPr>
        <w:t xml:space="preserve">párrafos </w:t>
      </w:r>
      <w:r w:rsidR="00E66AE9">
        <w:rPr>
          <w:rFonts w:ascii="Verdana" w:hAnsi="Verdana"/>
          <w:sz w:val="20"/>
          <w:szCs w:val="20"/>
        </w:rPr>
        <w:t>2.5.40 a 2.5.43 del presente capítulo</w:t>
      </w:r>
      <w:r w:rsidRPr="003A28D3">
        <w:rPr>
          <w:rFonts w:ascii="Verdana" w:hAnsi="Verdana"/>
          <w:sz w:val="20"/>
          <w:szCs w:val="20"/>
        </w:rPr>
        <w:t>, para los años subsiguientes, se deben actualizar dichos montos de acuerdo con las instrucciones que se indican a continuación:</w:t>
      </w:r>
      <w:r w:rsidR="003216D7" w:rsidRPr="003A28D3">
        <w:rPr>
          <w:rFonts w:ascii="Verdana" w:hAnsi="Verdana"/>
          <w:sz w:val="20"/>
          <w:szCs w:val="20"/>
        </w:rPr>
        <w:t xml:space="preserve"> </w:t>
      </w:r>
    </w:p>
    <w:p w14:paraId="608D5C41" w14:textId="77777777" w:rsidR="003A28D3" w:rsidRDefault="003A28D3" w:rsidP="003A28D3">
      <w:pPr>
        <w:pStyle w:val="Prrafodelista"/>
        <w:spacing w:after="0"/>
        <w:ind w:left="567"/>
        <w:jc w:val="both"/>
        <w:rPr>
          <w:rFonts w:ascii="Verdana" w:hAnsi="Verdana"/>
          <w:sz w:val="20"/>
          <w:szCs w:val="20"/>
        </w:rPr>
      </w:pPr>
    </w:p>
    <w:p w14:paraId="443830B1" w14:textId="70CFA0C0" w:rsidR="003A28D3" w:rsidRDefault="003A28D3" w:rsidP="003A28D3">
      <w:pPr>
        <w:pStyle w:val="Prrafodelista"/>
        <w:numPr>
          <w:ilvl w:val="0"/>
          <w:numId w:val="25"/>
        </w:numPr>
        <w:spacing w:after="0"/>
        <w:ind w:left="567" w:hanging="567"/>
        <w:jc w:val="both"/>
        <w:rPr>
          <w:rFonts w:ascii="Verdana" w:hAnsi="Verdana"/>
          <w:sz w:val="20"/>
          <w:szCs w:val="20"/>
        </w:rPr>
      </w:pPr>
      <w:r>
        <w:rPr>
          <w:rFonts w:ascii="Verdana" w:hAnsi="Verdana"/>
          <w:sz w:val="20"/>
          <w:szCs w:val="20"/>
        </w:rPr>
        <w:t>I</w:t>
      </w:r>
      <w:r w:rsidR="009D1CDF" w:rsidRPr="003A28D3">
        <w:rPr>
          <w:rFonts w:ascii="Verdana" w:hAnsi="Verdana"/>
          <w:sz w:val="20"/>
          <w:szCs w:val="20"/>
        </w:rPr>
        <w:t>dentificar para cada país la unidad de cuenta que le será aplicable. Ésta debe ser certificada por el gobierno, la autoridad supervisora o el banco central del país correspondiente y debe reconocer la variación del índice de precios</w:t>
      </w:r>
      <w:r w:rsidR="007A08C8">
        <w:rPr>
          <w:rFonts w:ascii="Verdana" w:hAnsi="Verdana"/>
          <w:sz w:val="20"/>
          <w:szCs w:val="20"/>
        </w:rPr>
        <w:t xml:space="preserve"> al</w:t>
      </w:r>
      <w:r w:rsidR="009D1CDF" w:rsidRPr="003A28D3">
        <w:rPr>
          <w:rFonts w:ascii="Verdana" w:hAnsi="Verdana"/>
          <w:sz w:val="20"/>
          <w:szCs w:val="20"/>
        </w:rPr>
        <w:t xml:space="preserve"> consumidor del respectivo país</w:t>
      </w:r>
      <w:r>
        <w:rPr>
          <w:rFonts w:ascii="Verdana" w:hAnsi="Verdana"/>
          <w:sz w:val="20"/>
          <w:szCs w:val="20"/>
        </w:rPr>
        <w:t>.</w:t>
      </w:r>
    </w:p>
    <w:p w14:paraId="2DC034A5" w14:textId="77777777" w:rsidR="003A28D3" w:rsidRDefault="003A28D3" w:rsidP="003A28D3">
      <w:pPr>
        <w:pStyle w:val="Prrafodelista"/>
        <w:spacing w:after="0"/>
        <w:ind w:left="567"/>
        <w:jc w:val="both"/>
        <w:rPr>
          <w:rFonts w:ascii="Verdana" w:hAnsi="Verdana"/>
          <w:sz w:val="20"/>
          <w:szCs w:val="20"/>
        </w:rPr>
      </w:pPr>
    </w:p>
    <w:p w14:paraId="17F4069A" w14:textId="65327CCE" w:rsidR="009D1CDF" w:rsidRPr="003A28D3" w:rsidRDefault="003A28D3" w:rsidP="003A28D3">
      <w:pPr>
        <w:pStyle w:val="Prrafodelista"/>
        <w:numPr>
          <w:ilvl w:val="0"/>
          <w:numId w:val="25"/>
        </w:numPr>
        <w:spacing w:after="0"/>
        <w:ind w:left="567" w:hanging="567"/>
        <w:jc w:val="both"/>
        <w:rPr>
          <w:rFonts w:ascii="Verdana" w:hAnsi="Verdana"/>
          <w:sz w:val="20"/>
          <w:szCs w:val="20"/>
        </w:rPr>
      </w:pPr>
      <w:r>
        <w:rPr>
          <w:rFonts w:ascii="Verdana" w:hAnsi="Verdana"/>
          <w:sz w:val="20"/>
          <w:szCs w:val="20"/>
        </w:rPr>
        <w:t>L</w:t>
      </w:r>
      <w:r w:rsidR="009D1CDF" w:rsidRPr="003A28D3">
        <w:rPr>
          <w:rFonts w:ascii="Verdana" w:hAnsi="Verdana"/>
          <w:sz w:val="20"/>
          <w:szCs w:val="20"/>
        </w:rPr>
        <w:t xml:space="preserve">os montos calculados, conforme las instrucciones </w:t>
      </w:r>
      <w:r w:rsidR="00196EE1" w:rsidRPr="00F50499">
        <w:rPr>
          <w:rFonts w:ascii="Verdana" w:hAnsi="Verdana"/>
          <w:sz w:val="20"/>
          <w:szCs w:val="20"/>
        </w:rPr>
        <w:t>de los párrafos 2.5.39</w:t>
      </w:r>
      <w:r w:rsidR="00E107ED">
        <w:rPr>
          <w:rFonts w:ascii="Verdana" w:hAnsi="Verdana"/>
          <w:sz w:val="20"/>
          <w:szCs w:val="20"/>
        </w:rPr>
        <w:t>.</w:t>
      </w:r>
      <w:r w:rsidR="0050454C" w:rsidRPr="00F50499">
        <w:rPr>
          <w:rFonts w:ascii="Verdana" w:hAnsi="Verdana"/>
          <w:sz w:val="20"/>
          <w:szCs w:val="20"/>
        </w:rPr>
        <w:t xml:space="preserve"> a </w:t>
      </w:r>
      <w:r w:rsidR="006426F6" w:rsidRPr="00F50499">
        <w:rPr>
          <w:rFonts w:ascii="Verdana" w:hAnsi="Verdana"/>
          <w:sz w:val="20"/>
          <w:szCs w:val="20"/>
        </w:rPr>
        <w:t>2.5.44</w:t>
      </w:r>
      <w:r w:rsidR="00E107ED">
        <w:rPr>
          <w:rFonts w:ascii="Verdana" w:hAnsi="Verdana"/>
          <w:sz w:val="20"/>
          <w:szCs w:val="20"/>
        </w:rPr>
        <w:t>.</w:t>
      </w:r>
      <w:r w:rsidR="009D1CDF" w:rsidRPr="003A28D3">
        <w:rPr>
          <w:rFonts w:ascii="Verdana" w:hAnsi="Verdana"/>
          <w:sz w:val="20"/>
          <w:szCs w:val="20"/>
        </w:rPr>
        <w:t>, se deben convertir a la unidad de cuenta seleccionada para el país respectivo, tomando el valor de la unidad vigente al 31 de diciembre del año inmediatamente anterior a la fecha de cálculo.</w:t>
      </w:r>
    </w:p>
    <w:p w14:paraId="07AE0EAD" w14:textId="77777777" w:rsidR="009D1CDF" w:rsidRPr="00507671" w:rsidRDefault="009D1CDF" w:rsidP="009D1CDF">
      <w:pPr>
        <w:spacing w:after="0"/>
        <w:jc w:val="both"/>
        <w:rPr>
          <w:rFonts w:ascii="Verdana" w:hAnsi="Verdana"/>
          <w:sz w:val="20"/>
          <w:szCs w:val="20"/>
        </w:rPr>
      </w:pPr>
    </w:p>
    <w:p w14:paraId="27D0CB80" w14:textId="211515C2" w:rsidR="00EF37AA" w:rsidRDefault="00EF37AA" w:rsidP="00B9401C">
      <w:pPr>
        <w:spacing w:after="0"/>
        <w:jc w:val="both"/>
        <w:rPr>
          <w:rFonts w:ascii="Verdana" w:hAnsi="Verdana"/>
          <w:sz w:val="20"/>
          <w:szCs w:val="20"/>
        </w:rPr>
      </w:pPr>
      <w:r w:rsidRPr="543C6D08">
        <w:rPr>
          <w:rFonts w:ascii="Verdana" w:hAnsi="Verdana"/>
          <w:sz w:val="20"/>
          <w:szCs w:val="20"/>
        </w:rPr>
        <w:t>2.5.4</w:t>
      </w:r>
      <w:r w:rsidR="61866CF5" w:rsidRPr="543C6D08">
        <w:rPr>
          <w:rFonts w:ascii="Verdana" w:hAnsi="Verdana"/>
          <w:sz w:val="20"/>
          <w:szCs w:val="20"/>
        </w:rPr>
        <w:t>5</w:t>
      </w:r>
      <w:r w:rsidRPr="543C6D08">
        <w:rPr>
          <w:rFonts w:ascii="Verdana" w:hAnsi="Verdana"/>
          <w:sz w:val="20"/>
          <w:szCs w:val="20"/>
        </w:rPr>
        <w:t>.</w:t>
      </w:r>
    </w:p>
    <w:p w14:paraId="3B75B653" w14:textId="77777777" w:rsidR="009D1CDF" w:rsidRPr="00507671" w:rsidRDefault="009D1CDF" w:rsidP="00B9401C">
      <w:pPr>
        <w:spacing w:after="0"/>
        <w:jc w:val="both"/>
        <w:rPr>
          <w:rFonts w:ascii="Verdana" w:hAnsi="Verdana"/>
          <w:sz w:val="20"/>
          <w:szCs w:val="20"/>
        </w:rPr>
      </w:pPr>
      <w:r w:rsidRPr="00507671">
        <w:rPr>
          <w:rFonts w:ascii="Verdana" w:hAnsi="Verdana"/>
          <w:sz w:val="20"/>
          <w:szCs w:val="20"/>
        </w:rPr>
        <w:t>En el caso de los países para los cuales no exista unidad de cuenta, el holding financiero debe emplear la variación anual del índice de precios al consumidor total del año inmediatamente anterior a la fecha de cálculo.</w:t>
      </w:r>
    </w:p>
    <w:p w14:paraId="0CFE471A" w14:textId="77777777" w:rsidR="009D1CDF" w:rsidRPr="00507671" w:rsidRDefault="009D1CDF" w:rsidP="00C5526F">
      <w:pPr>
        <w:spacing w:after="0"/>
        <w:jc w:val="both"/>
        <w:rPr>
          <w:rFonts w:ascii="Verdana" w:hAnsi="Verdana"/>
          <w:sz w:val="20"/>
          <w:szCs w:val="20"/>
        </w:rPr>
      </w:pPr>
    </w:p>
    <w:p w14:paraId="0DED0A9C" w14:textId="77777777" w:rsidR="00B9401C" w:rsidRDefault="00B9401C" w:rsidP="00B9401C">
      <w:pPr>
        <w:spacing w:after="0"/>
        <w:jc w:val="both"/>
        <w:rPr>
          <w:rFonts w:ascii="Verdana" w:hAnsi="Verdana"/>
          <w:sz w:val="20"/>
          <w:szCs w:val="20"/>
        </w:rPr>
      </w:pPr>
    </w:p>
    <w:p w14:paraId="6D211004" w14:textId="13BB27A8" w:rsidR="00B9401C" w:rsidRDefault="00EF37AA" w:rsidP="00B9401C">
      <w:pPr>
        <w:spacing w:after="0"/>
        <w:jc w:val="both"/>
        <w:rPr>
          <w:rFonts w:ascii="Verdana" w:hAnsi="Verdana"/>
          <w:sz w:val="20"/>
          <w:szCs w:val="20"/>
        </w:rPr>
      </w:pPr>
      <w:r w:rsidRPr="543C6D08">
        <w:rPr>
          <w:rFonts w:ascii="Verdana" w:hAnsi="Verdana"/>
          <w:sz w:val="20"/>
          <w:szCs w:val="20"/>
        </w:rPr>
        <w:lastRenderedPageBreak/>
        <w:t>2.5.4</w:t>
      </w:r>
      <w:r w:rsidR="6902D6C3" w:rsidRPr="543C6D08">
        <w:rPr>
          <w:rFonts w:ascii="Verdana" w:hAnsi="Verdana"/>
          <w:sz w:val="20"/>
          <w:szCs w:val="20"/>
        </w:rPr>
        <w:t>6</w:t>
      </w:r>
      <w:r w:rsidRPr="543C6D08">
        <w:rPr>
          <w:rFonts w:ascii="Verdana" w:hAnsi="Verdana"/>
          <w:sz w:val="20"/>
          <w:szCs w:val="20"/>
        </w:rPr>
        <w:t>.</w:t>
      </w:r>
    </w:p>
    <w:p w14:paraId="13C8FB0B" w14:textId="181BF529" w:rsidR="009D1CDF" w:rsidRPr="00507671" w:rsidRDefault="00B9401C" w:rsidP="00B9401C">
      <w:pPr>
        <w:spacing w:after="0"/>
        <w:jc w:val="both"/>
        <w:rPr>
          <w:rFonts w:ascii="Verdana" w:hAnsi="Verdana"/>
          <w:sz w:val="20"/>
          <w:szCs w:val="20"/>
        </w:rPr>
      </w:pPr>
      <w:r>
        <w:rPr>
          <w:rFonts w:ascii="Verdana" w:hAnsi="Verdana"/>
          <w:sz w:val="20"/>
          <w:szCs w:val="20"/>
        </w:rPr>
        <w:t>Cuando</w:t>
      </w:r>
      <w:r w:rsidR="009D1CDF" w:rsidRPr="00507671">
        <w:rPr>
          <w:rFonts w:ascii="Verdana" w:hAnsi="Verdana"/>
          <w:sz w:val="20"/>
          <w:szCs w:val="20"/>
        </w:rPr>
        <w:t xml:space="preserve"> la unidad de cuenta escogida desaparezca, el holding financiero debe notificar a la SFC, dentro de los 15 días hábiles siguientes y proponer la unidad alternativa o el indicador que empleará en los periodos sucesivos. Con dicha notificación deberá incluirse un documento que contenga el análisis de impacto de la respectiva modificación.</w:t>
      </w:r>
    </w:p>
    <w:p w14:paraId="2053A339" w14:textId="77777777" w:rsidR="009D1CDF" w:rsidRPr="00507671" w:rsidRDefault="009D1CDF" w:rsidP="009D1CDF">
      <w:pPr>
        <w:spacing w:after="0"/>
        <w:jc w:val="both"/>
        <w:rPr>
          <w:rFonts w:ascii="Verdana" w:hAnsi="Verdana"/>
          <w:sz w:val="20"/>
          <w:szCs w:val="20"/>
        </w:rPr>
      </w:pPr>
    </w:p>
    <w:p w14:paraId="6B9543C6" w14:textId="64A6BD38" w:rsidR="00E13263" w:rsidRPr="00B9401C" w:rsidRDefault="009D1CDF" w:rsidP="00B9401C">
      <w:pPr>
        <w:pStyle w:val="Prrafodelista"/>
        <w:numPr>
          <w:ilvl w:val="0"/>
          <w:numId w:val="26"/>
        </w:numPr>
        <w:spacing w:after="0"/>
        <w:ind w:left="1134" w:hanging="283"/>
        <w:jc w:val="both"/>
        <w:rPr>
          <w:rFonts w:ascii="Verdana" w:hAnsi="Verdana"/>
          <w:b/>
          <w:bCs/>
          <w:sz w:val="20"/>
          <w:szCs w:val="20"/>
        </w:rPr>
      </w:pPr>
      <w:r w:rsidRPr="00B9401C">
        <w:rPr>
          <w:rFonts w:ascii="Verdana" w:hAnsi="Verdana"/>
          <w:b/>
          <w:bCs/>
          <w:sz w:val="20"/>
          <w:szCs w:val="20"/>
        </w:rPr>
        <w:t>Información de soporte para el cálculo de los límites señalados en UVR</w:t>
      </w:r>
    </w:p>
    <w:p w14:paraId="7F33949B" w14:textId="77777777" w:rsidR="00E13263" w:rsidRDefault="00E13263" w:rsidP="00E11229">
      <w:pPr>
        <w:spacing w:after="0"/>
        <w:jc w:val="both"/>
        <w:rPr>
          <w:rFonts w:ascii="Verdana" w:hAnsi="Verdana"/>
          <w:sz w:val="20"/>
          <w:szCs w:val="20"/>
        </w:rPr>
      </w:pPr>
    </w:p>
    <w:p w14:paraId="5AA35CF3" w14:textId="106DB7A4" w:rsidR="006E63F2" w:rsidRDefault="006E63F2" w:rsidP="006E63F2">
      <w:pPr>
        <w:spacing w:after="0"/>
        <w:jc w:val="both"/>
        <w:rPr>
          <w:rFonts w:ascii="Verdana" w:hAnsi="Verdana"/>
          <w:sz w:val="20"/>
          <w:szCs w:val="20"/>
        </w:rPr>
      </w:pPr>
      <w:r w:rsidRPr="543C6D08">
        <w:rPr>
          <w:rFonts w:ascii="Verdana" w:hAnsi="Verdana"/>
          <w:sz w:val="20"/>
          <w:szCs w:val="20"/>
        </w:rPr>
        <w:t>2.5.4</w:t>
      </w:r>
      <w:r w:rsidR="04D9409B" w:rsidRPr="543C6D08">
        <w:rPr>
          <w:rFonts w:ascii="Verdana" w:hAnsi="Verdana"/>
          <w:sz w:val="20"/>
          <w:szCs w:val="20"/>
        </w:rPr>
        <w:t>7</w:t>
      </w:r>
      <w:r w:rsidRPr="543C6D08">
        <w:rPr>
          <w:rFonts w:ascii="Verdana" w:hAnsi="Verdana"/>
          <w:sz w:val="20"/>
          <w:szCs w:val="20"/>
        </w:rPr>
        <w:t>.</w:t>
      </w:r>
    </w:p>
    <w:p w14:paraId="43A98D76" w14:textId="75169765" w:rsidR="009D1CDF" w:rsidRPr="005A35F7" w:rsidRDefault="009D1CDF" w:rsidP="00156026">
      <w:pPr>
        <w:spacing w:after="0"/>
        <w:jc w:val="both"/>
        <w:rPr>
          <w:rFonts w:ascii="Verdana" w:hAnsi="Verdana"/>
          <w:sz w:val="20"/>
          <w:szCs w:val="20"/>
        </w:rPr>
      </w:pPr>
      <w:r w:rsidRPr="005A35F7">
        <w:rPr>
          <w:rFonts w:ascii="Verdana" w:hAnsi="Verdana"/>
          <w:sz w:val="20"/>
          <w:szCs w:val="20"/>
        </w:rPr>
        <w:t xml:space="preserve">En la aplicación por primera vez de las instrucciones </w:t>
      </w:r>
      <w:r w:rsidR="00321F22" w:rsidRPr="005A35F7">
        <w:rPr>
          <w:rFonts w:ascii="Verdana" w:hAnsi="Verdana"/>
          <w:sz w:val="20"/>
          <w:szCs w:val="20"/>
        </w:rPr>
        <w:t xml:space="preserve">aplicables </w:t>
      </w:r>
      <w:r w:rsidR="000A5E0C" w:rsidRPr="005A35F7">
        <w:rPr>
          <w:rFonts w:ascii="Verdana" w:hAnsi="Verdana"/>
          <w:sz w:val="20"/>
          <w:szCs w:val="20"/>
        </w:rPr>
        <w:t xml:space="preserve">para las </w:t>
      </w:r>
      <w:r w:rsidR="005A35F7" w:rsidRPr="005A35F7">
        <w:rPr>
          <w:rFonts w:ascii="Verdana" w:hAnsi="Verdana"/>
          <w:sz w:val="20"/>
          <w:szCs w:val="20"/>
        </w:rPr>
        <w:t>e</w:t>
      </w:r>
      <w:r w:rsidR="000A5E0C" w:rsidRPr="005A35F7">
        <w:rPr>
          <w:rFonts w:ascii="Verdana" w:hAnsi="Verdana"/>
          <w:sz w:val="20"/>
          <w:szCs w:val="20"/>
        </w:rPr>
        <w:t>ntidades aseguradoras</w:t>
      </w:r>
      <w:r w:rsidR="005A35F7" w:rsidRPr="005A35F7">
        <w:rPr>
          <w:rFonts w:ascii="Verdana" w:hAnsi="Verdana"/>
          <w:sz w:val="20"/>
          <w:szCs w:val="20"/>
        </w:rPr>
        <w:t xml:space="preserve"> </w:t>
      </w:r>
      <w:r w:rsidRPr="005A35F7">
        <w:rPr>
          <w:rFonts w:ascii="Verdana" w:hAnsi="Verdana"/>
          <w:sz w:val="20"/>
          <w:szCs w:val="20"/>
        </w:rPr>
        <w:t>a que se refiere</w:t>
      </w:r>
      <w:r w:rsidR="005A35F7">
        <w:rPr>
          <w:rFonts w:ascii="Verdana" w:hAnsi="Verdana"/>
          <w:sz w:val="20"/>
          <w:szCs w:val="20"/>
        </w:rPr>
        <w:t>n los párrafos 2.5.38</w:t>
      </w:r>
      <w:r w:rsidR="00E107ED">
        <w:rPr>
          <w:rFonts w:ascii="Verdana" w:hAnsi="Verdana"/>
          <w:sz w:val="20"/>
          <w:szCs w:val="20"/>
        </w:rPr>
        <w:t>.</w:t>
      </w:r>
      <w:r w:rsidR="005A35F7">
        <w:rPr>
          <w:rFonts w:ascii="Verdana" w:hAnsi="Verdana"/>
          <w:sz w:val="20"/>
          <w:szCs w:val="20"/>
        </w:rPr>
        <w:t xml:space="preserve"> </w:t>
      </w:r>
      <w:r w:rsidR="00156026">
        <w:rPr>
          <w:rFonts w:ascii="Verdana" w:hAnsi="Verdana"/>
          <w:sz w:val="20"/>
          <w:szCs w:val="20"/>
        </w:rPr>
        <w:t>a 2.5.</w:t>
      </w:r>
      <w:r w:rsidR="00E107ED">
        <w:rPr>
          <w:rFonts w:ascii="Verdana" w:hAnsi="Verdana"/>
          <w:sz w:val="20"/>
          <w:szCs w:val="20"/>
        </w:rPr>
        <w:t>94.</w:t>
      </w:r>
      <w:r w:rsidR="00156026">
        <w:rPr>
          <w:rFonts w:ascii="Verdana" w:hAnsi="Verdana"/>
          <w:sz w:val="20"/>
          <w:szCs w:val="20"/>
        </w:rPr>
        <w:t xml:space="preserve"> del </w:t>
      </w:r>
      <w:r w:rsidR="0077026E" w:rsidRPr="00156026">
        <w:rPr>
          <w:rFonts w:ascii="Verdana" w:hAnsi="Verdana"/>
          <w:sz w:val="20"/>
          <w:szCs w:val="20"/>
        </w:rPr>
        <w:t xml:space="preserve">presente </w:t>
      </w:r>
      <w:r w:rsidR="00156026">
        <w:rPr>
          <w:rFonts w:ascii="Verdana" w:hAnsi="Verdana"/>
          <w:sz w:val="20"/>
          <w:szCs w:val="20"/>
        </w:rPr>
        <w:t>c</w:t>
      </w:r>
      <w:r w:rsidR="0077026E" w:rsidRPr="00156026">
        <w:rPr>
          <w:rFonts w:ascii="Verdana" w:hAnsi="Verdana"/>
          <w:sz w:val="20"/>
          <w:szCs w:val="20"/>
        </w:rPr>
        <w:t>apítulo</w:t>
      </w:r>
      <w:r w:rsidRPr="005A35F7">
        <w:rPr>
          <w:rFonts w:ascii="Verdana" w:hAnsi="Verdana"/>
          <w:sz w:val="20"/>
          <w:szCs w:val="20"/>
        </w:rPr>
        <w:t>, el holding financiero deberá remitir a la SFC, dentro del mismo plazo establecido para la primera captura de información relacionada con el nivel adecuado de capital del conglomerado financiero, una comunicación donde se señalen:</w:t>
      </w:r>
    </w:p>
    <w:p w14:paraId="1478BDDA" w14:textId="77777777" w:rsidR="00B9401C" w:rsidRDefault="00B9401C" w:rsidP="00B9401C">
      <w:pPr>
        <w:spacing w:after="0"/>
        <w:jc w:val="both"/>
        <w:rPr>
          <w:rFonts w:ascii="Verdana" w:hAnsi="Verdana"/>
          <w:sz w:val="20"/>
          <w:szCs w:val="20"/>
        </w:rPr>
      </w:pPr>
    </w:p>
    <w:p w14:paraId="54357C7F" w14:textId="3373921B" w:rsidR="00B9401C" w:rsidRDefault="009D1CDF" w:rsidP="00B9401C">
      <w:pPr>
        <w:pStyle w:val="Prrafodelista"/>
        <w:numPr>
          <w:ilvl w:val="0"/>
          <w:numId w:val="27"/>
        </w:numPr>
        <w:spacing w:after="0"/>
        <w:ind w:left="567" w:hanging="567"/>
        <w:jc w:val="both"/>
        <w:rPr>
          <w:rFonts w:ascii="Verdana" w:hAnsi="Verdana"/>
          <w:sz w:val="20"/>
          <w:szCs w:val="20"/>
        </w:rPr>
      </w:pPr>
      <w:r w:rsidRPr="00B9401C">
        <w:rPr>
          <w:rFonts w:ascii="Verdana" w:hAnsi="Verdana"/>
          <w:sz w:val="20"/>
          <w:szCs w:val="20"/>
        </w:rPr>
        <w:t>El soporte de los cálculos de que tratan los</w:t>
      </w:r>
      <w:r w:rsidR="00F27E7E">
        <w:rPr>
          <w:rFonts w:ascii="Verdana" w:hAnsi="Verdana"/>
          <w:sz w:val="20"/>
          <w:szCs w:val="20"/>
        </w:rPr>
        <w:t xml:space="preserve"> </w:t>
      </w:r>
      <w:r w:rsidR="00C23200">
        <w:rPr>
          <w:rFonts w:ascii="Verdana" w:hAnsi="Verdana"/>
          <w:sz w:val="20"/>
          <w:szCs w:val="20"/>
        </w:rPr>
        <w:t>párrafos 2.5.40. a</w:t>
      </w:r>
      <w:r w:rsidR="007C6DBF">
        <w:rPr>
          <w:rFonts w:ascii="Verdana" w:hAnsi="Verdana"/>
          <w:sz w:val="20"/>
          <w:szCs w:val="20"/>
        </w:rPr>
        <w:t xml:space="preserve"> 2.5.4</w:t>
      </w:r>
      <w:r w:rsidR="00DA5D00">
        <w:rPr>
          <w:rFonts w:ascii="Verdana" w:hAnsi="Verdana"/>
          <w:sz w:val="20"/>
          <w:szCs w:val="20"/>
        </w:rPr>
        <w:t>3</w:t>
      </w:r>
      <w:r w:rsidR="007C6DBF">
        <w:rPr>
          <w:rFonts w:ascii="Verdana" w:hAnsi="Verdana"/>
          <w:sz w:val="20"/>
          <w:szCs w:val="20"/>
        </w:rPr>
        <w:t>.</w:t>
      </w:r>
      <w:r w:rsidR="007C6DBF" w:rsidRPr="00B9401C">
        <w:rPr>
          <w:rFonts w:ascii="Verdana" w:hAnsi="Verdana"/>
          <w:sz w:val="20"/>
          <w:szCs w:val="20"/>
        </w:rPr>
        <w:t xml:space="preserve"> </w:t>
      </w:r>
      <w:r w:rsidRPr="00B9401C">
        <w:rPr>
          <w:rFonts w:ascii="Verdana" w:hAnsi="Verdana"/>
          <w:sz w:val="20"/>
          <w:szCs w:val="20"/>
        </w:rPr>
        <w:t>del presente capítulo</w:t>
      </w:r>
      <w:r w:rsidR="00B9401C">
        <w:rPr>
          <w:rFonts w:ascii="Verdana" w:hAnsi="Verdana"/>
          <w:sz w:val="20"/>
          <w:szCs w:val="20"/>
        </w:rPr>
        <w:t>.</w:t>
      </w:r>
    </w:p>
    <w:p w14:paraId="4EF10A6A" w14:textId="77777777" w:rsidR="00B9401C" w:rsidRDefault="00B9401C" w:rsidP="00B9401C">
      <w:pPr>
        <w:pStyle w:val="Prrafodelista"/>
        <w:spacing w:after="0"/>
        <w:ind w:left="567"/>
        <w:jc w:val="both"/>
        <w:rPr>
          <w:rFonts w:ascii="Verdana" w:hAnsi="Verdana"/>
          <w:sz w:val="20"/>
          <w:szCs w:val="20"/>
        </w:rPr>
      </w:pPr>
    </w:p>
    <w:p w14:paraId="316F2E48" w14:textId="48A0285B" w:rsidR="00B9401C" w:rsidRDefault="009D1CDF" w:rsidP="00B9401C">
      <w:pPr>
        <w:pStyle w:val="Prrafodelista"/>
        <w:numPr>
          <w:ilvl w:val="0"/>
          <w:numId w:val="27"/>
        </w:numPr>
        <w:spacing w:after="0"/>
        <w:ind w:left="567" w:hanging="567"/>
        <w:jc w:val="both"/>
        <w:rPr>
          <w:rFonts w:ascii="Verdana" w:hAnsi="Verdana"/>
          <w:sz w:val="20"/>
          <w:szCs w:val="20"/>
        </w:rPr>
      </w:pPr>
      <w:r w:rsidRPr="00B9401C">
        <w:rPr>
          <w:rFonts w:ascii="Verdana" w:hAnsi="Verdana"/>
          <w:sz w:val="20"/>
          <w:szCs w:val="20"/>
        </w:rPr>
        <w:t xml:space="preserve">La lista de las unidades de cuenta que serán aplicables a cada país, de acuerdo con </w:t>
      </w:r>
      <w:r w:rsidR="00917563">
        <w:rPr>
          <w:rFonts w:ascii="Verdana" w:hAnsi="Verdana"/>
          <w:sz w:val="20"/>
          <w:szCs w:val="20"/>
        </w:rPr>
        <w:t>lo</w:t>
      </w:r>
      <w:r w:rsidR="001E2255" w:rsidRPr="00B9401C">
        <w:rPr>
          <w:rFonts w:ascii="Verdana" w:hAnsi="Verdana"/>
          <w:sz w:val="20"/>
          <w:szCs w:val="20"/>
        </w:rPr>
        <w:t xml:space="preserve"> señalado </w:t>
      </w:r>
      <w:r w:rsidR="00917563">
        <w:rPr>
          <w:rFonts w:ascii="Verdana" w:hAnsi="Verdana"/>
          <w:sz w:val="20"/>
          <w:szCs w:val="20"/>
        </w:rPr>
        <w:t>entre los párrafos 2.5.44. a</w:t>
      </w:r>
      <w:r w:rsidR="00D50799">
        <w:rPr>
          <w:rFonts w:ascii="Verdana" w:hAnsi="Verdana"/>
          <w:sz w:val="20"/>
          <w:szCs w:val="20"/>
        </w:rPr>
        <w:t xml:space="preserve"> 2.5.</w:t>
      </w:r>
      <w:r w:rsidR="00917563">
        <w:rPr>
          <w:rFonts w:ascii="Verdana" w:hAnsi="Verdana"/>
          <w:sz w:val="20"/>
          <w:szCs w:val="20"/>
        </w:rPr>
        <w:t>46</w:t>
      </w:r>
      <w:r w:rsidR="00D50799">
        <w:rPr>
          <w:rFonts w:ascii="Verdana" w:hAnsi="Verdana"/>
          <w:sz w:val="20"/>
          <w:szCs w:val="20"/>
        </w:rPr>
        <w:t>.</w:t>
      </w:r>
      <w:r w:rsidRPr="00B9401C">
        <w:rPr>
          <w:rFonts w:ascii="Verdana" w:hAnsi="Verdana"/>
          <w:sz w:val="20"/>
          <w:szCs w:val="20"/>
        </w:rPr>
        <w:t xml:space="preserve"> del presente capítulo</w:t>
      </w:r>
      <w:r w:rsidR="00B9401C">
        <w:rPr>
          <w:rFonts w:ascii="Verdana" w:hAnsi="Verdana"/>
          <w:sz w:val="20"/>
          <w:szCs w:val="20"/>
        </w:rPr>
        <w:t>.</w:t>
      </w:r>
    </w:p>
    <w:p w14:paraId="114F4744" w14:textId="77777777" w:rsidR="00B9401C" w:rsidRPr="00B9401C" w:rsidRDefault="00B9401C" w:rsidP="00B9401C">
      <w:pPr>
        <w:pStyle w:val="Prrafodelista"/>
        <w:rPr>
          <w:rFonts w:ascii="Verdana" w:hAnsi="Verdana"/>
          <w:sz w:val="20"/>
          <w:szCs w:val="20"/>
        </w:rPr>
      </w:pPr>
    </w:p>
    <w:p w14:paraId="1243F2E3" w14:textId="4B37A985" w:rsidR="009D1CDF" w:rsidRPr="00B9401C" w:rsidRDefault="009D1CDF" w:rsidP="00B9401C">
      <w:pPr>
        <w:pStyle w:val="Prrafodelista"/>
        <w:numPr>
          <w:ilvl w:val="0"/>
          <w:numId w:val="27"/>
        </w:numPr>
        <w:spacing w:after="0"/>
        <w:ind w:left="567" w:hanging="567"/>
        <w:jc w:val="both"/>
        <w:rPr>
          <w:rFonts w:ascii="Verdana" w:hAnsi="Verdana"/>
          <w:sz w:val="20"/>
          <w:szCs w:val="20"/>
        </w:rPr>
      </w:pPr>
      <w:r w:rsidRPr="00B9401C">
        <w:rPr>
          <w:rFonts w:ascii="Verdana" w:hAnsi="Verdana"/>
          <w:sz w:val="20"/>
          <w:szCs w:val="20"/>
        </w:rPr>
        <w:t>La lista de los países en los cuales no existe unidad de cuenta.</w:t>
      </w:r>
    </w:p>
    <w:p w14:paraId="53C99EA5" w14:textId="77777777" w:rsidR="009D1CDF" w:rsidRPr="00507671" w:rsidRDefault="009D1CDF" w:rsidP="009D1CDF">
      <w:pPr>
        <w:spacing w:after="0"/>
        <w:jc w:val="both"/>
        <w:rPr>
          <w:rFonts w:ascii="Verdana" w:hAnsi="Verdana"/>
          <w:sz w:val="20"/>
          <w:szCs w:val="20"/>
        </w:rPr>
      </w:pPr>
    </w:p>
    <w:p w14:paraId="0A4AB482" w14:textId="31BC9858" w:rsidR="006F3858" w:rsidRPr="0059329E" w:rsidRDefault="009D1CDF" w:rsidP="0059329E">
      <w:pPr>
        <w:pStyle w:val="Prrafodelista"/>
        <w:numPr>
          <w:ilvl w:val="0"/>
          <w:numId w:val="26"/>
        </w:numPr>
        <w:spacing w:after="0"/>
        <w:ind w:left="1134" w:hanging="283"/>
        <w:jc w:val="both"/>
        <w:rPr>
          <w:rFonts w:ascii="Verdana" w:hAnsi="Verdana"/>
          <w:b/>
          <w:sz w:val="20"/>
          <w:szCs w:val="20"/>
        </w:rPr>
      </w:pPr>
      <w:r w:rsidRPr="0059329E">
        <w:rPr>
          <w:rFonts w:ascii="Verdana" w:hAnsi="Verdana"/>
          <w:b/>
          <w:sz w:val="20"/>
          <w:szCs w:val="20"/>
        </w:rPr>
        <w:t xml:space="preserve">Cuantificación de los siniestros para el cálculo del riesgo de suscripción </w:t>
      </w:r>
    </w:p>
    <w:p w14:paraId="42354C36" w14:textId="77777777" w:rsidR="006F3858" w:rsidRPr="00507671" w:rsidRDefault="006F3858" w:rsidP="006F3858">
      <w:pPr>
        <w:spacing w:after="0"/>
        <w:ind w:left="1701" w:hanging="567"/>
        <w:jc w:val="both"/>
        <w:rPr>
          <w:rFonts w:ascii="Verdana" w:hAnsi="Verdana"/>
          <w:b/>
          <w:sz w:val="20"/>
          <w:szCs w:val="20"/>
        </w:rPr>
      </w:pPr>
    </w:p>
    <w:p w14:paraId="0A8FF110" w14:textId="0A01E4FC" w:rsidR="003F28D2" w:rsidRDefault="003F28D2" w:rsidP="003F28D2">
      <w:pPr>
        <w:spacing w:after="0"/>
        <w:jc w:val="both"/>
        <w:rPr>
          <w:rFonts w:ascii="Verdana" w:hAnsi="Verdana"/>
          <w:sz w:val="20"/>
          <w:szCs w:val="20"/>
        </w:rPr>
      </w:pPr>
      <w:r w:rsidRPr="543C6D08">
        <w:rPr>
          <w:rFonts w:ascii="Verdana" w:hAnsi="Verdana"/>
          <w:sz w:val="20"/>
          <w:szCs w:val="20"/>
        </w:rPr>
        <w:t>2.5.4</w:t>
      </w:r>
      <w:r w:rsidR="36D0C2E0" w:rsidRPr="543C6D08">
        <w:rPr>
          <w:rFonts w:ascii="Verdana" w:hAnsi="Verdana"/>
          <w:sz w:val="20"/>
          <w:szCs w:val="20"/>
        </w:rPr>
        <w:t>8</w:t>
      </w:r>
      <w:r w:rsidRPr="543C6D08">
        <w:rPr>
          <w:rFonts w:ascii="Verdana" w:hAnsi="Verdana"/>
          <w:sz w:val="20"/>
          <w:szCs w:val="20"/>
        </w:rPr>
        <w:t>.</w:t>
      </w:r>
    </w:p>
    <w:p w14:paraId="3426E476" w14:textId="1B9E3DB7" w:rsidR="009D1CDF" w:rsidRPr="003F28D2" w:rsidRDefault="009D1CDF" w:rsidP="003F28D2">
      <w:pPr>
        <w:spacing w:after="0"/>
        <w:jc w:val="both"/>
        <w:rPr>
          <w:rFonts w:ascii="Verdana" w:hAnsi="Verdana"/>
          <w:sz w:val="20"/>
          <w:szCs w:val="20"/>
        </w:rPr>
      </w:pPr>
      <w:r w:rsidRPr="003F28D2">
        <w:rPr>
          <w:rFonts w:ascii="Verdana" w:hAnsi="Verdana"/>
          <w:sz w:val="20"/>
          <w:szCs w:val="20"/>
        </w:rPr>
        <w:t xml:space="preserve">Para la cuantificación de los siniestros de que trata el subnumeral 2.1 del artículo 2.31.1.2.6 del Decreto 2555 de 2010, correspondientes a las subordinadas del exterior, el holding financiero podrá emplear la reserva de siniestros avisados, calculada de acuerdo con el régimen de reservas técnicas del país en el cual opera cada entidad, siempre que se acredite ante la SFC que dicho régimen es equivalente al colombiano, conforme a lo definido en el artículo 2.31.4.4.1 del Decreto 2555 de 2010 y el </w:t>
      </w:r>
      <w:r w:rsidRPr="00917563">
        <w:rPr>
          <w:rFonts w:ascii="Verdana" w:hAnsi="Verdana"/>
          <w:sz w:val="20"/>
          <w:szCs w:val="20"/>
        </w:rPr>
        <w:t>subnumeral 2.2.5.3 del capítulo II</w:t>
      </w:r>
      <w:r w:rsidR="00917563" w:rsidRPr="00917563">
        <w:rPr>
          <w:rFonts w:ascii="Verdana" w:hAnsi="Verdana"/>
          <w:sz w:val="20"/>
          <w:szCs w:val="20"/>
        </w:rPr>
        <w:t xml:space="preserve"> del</w:t>
      </w:r>
      <w:r w:rsidRPr="00917563">
        <w:rPr>
          <w:rFonts w:ascii="Verdana" w:hAnsi="Verdana"/>
          <w:sz w:val="20"/>
          <w:szCs w:val="20"/>
        </w:rPr>
        <w:t xml:space="preserve"> </w:t>
      </w:r>
      <w:r w:rsidR="00917563" w:rsidRPr="00917563">
        <w:rPr>
          <w:rFonts w:ascii="Verdana" w:hAnsi="Verdana"/>
          <w:sz w:val="20"/>
          <w:szCs w:val="20"/>
        </w:rPr>
        <w:t>t</w:t>
      </w:r>
      <w:r w:rsidRPr="00917563">
        <w:rPr>
          <w:rFonts w:ascii="Verdana" w:hAnsi="Verdana"/>
          <w:sz w:val="20"/>
          <w:szCs w:val="20"/>
        </w:rPr>
        <w:t>ítulo IV de la parte 2 de la CBJ.</w:t>
      </w:r>
    </w:p>
    <w:p w14:paraId="53175716" w14:textId="77777777" w:rsidR="009D1CDF" w:rsidRPr="00507671" w:rsidRDefault="009D1CDF" w:rsidP="009D1CDF">
      <w:pPr>
        <w:spacing w:after="0"/>
        <w:jc w:val="both"/>
        <w:rPr>
          <w:rFonts w:ascii="Verdana" w:hAnsi="Verdana"/>
          <w:sz w:val="20"/>
          <w:szCs w:val="20"/>
        </w:rPr>
      </w:pPr>
    </w:p>
    <w:p w14:paraId="06F09D1A" w14:textId="43660DF3" w:rsidR="00EF37AA" w:rsidRDefault="00EF37AA" w:rsidP="003F28D2">
      <w:pPr>
        <w:spacing w:after="0"/>
        <w:jc w:val="both"/>
        <w:rPr>
          <w:rFonts w:ascii="Verdana" w:hAnsi="Verdana"/>
          <w:sz w:val="20"/>
          <w:szCs w:val="20"/>
        </w:rPr>
      </w:pPr>
      <w:r w:rsidRPr="543C6D08">
        <w:rPr>
          <w:rFonts w:ascii="Verdana" w:hAnsi="Verdana"/>
          <w:sz w:val="20"/>
          <w:szCs w:val="20"/>
        </w:rPr>
        <w:t>2.5.</w:t>
      </w:r>
      <w:r w:rsidR="7B1C73DF" w:rsidRPr="543C6D08">
        <w:rPr>
          <w:rFonts w:ascii="Verdana" w:hAnsi="Verdana"/>
          <w:sz w:val="20"/>
          <w:szCs w:val="20"/>
        </w:rPr>
        <w:t>49</w:t>
      </w:r>
      <w:r w:rsidRPr="543C6D08">
        <w:rPr>
          <w:rFonts w:ascii="Verdana" w:hAnsi="Verdana"/>
          <w:sz w:val="20"/>
          <w:szCs w:val="20"/>
        </w:rPr>
        <w:t>.</w:t>
      </w:r>
    </w:p>
    <w:p w14:paraId="4174C720" w14:textId="1DE7FD9F" w:rsidR="009D1CDF" w:rsidRPr="00507671" w:rsidRDefault="009D1CDF" w:rsidP="003F28D2">
      <w:pPr>
        <w:spacing w:after="0"/>
        <w:jc w:val="both"/>
        <w:rPr>
          <w:rFonts w:ascii="Verdana" w:hAnsi="Verdana"/>
          <w:sz w:val="20"/>
          <w:szCs w:val="20"/>
        </w:rPr>
      </w:pPr>
      <w:r w:rsidRPr="00507671">
        <w:rPr>
          <w:rFonts w:ascii="Verdana" w:hAnsi="Verdana"/>
          <w:sz w:val="20"/>
          <w:szCs w:val="20"/>
        </w:rPr>
        <w:t>Cuando el holding financiero no logre acreditar dicha equivalencia, debe emplear el régimen de reservas técnicas colombiano.</w:t>
      </w:r>
    </w:p>
    <w:p w14:paraId="3807F230" w14:textId="77777777" w:rsidR="009D1CDF" w:rsidRPr="00507671" w:rsidRDefault="009D1CDF" w:rsidP="009D1CDF">
      <w:pPr>
        <w:spacing w:after="0"/>
        <w:jc w:val="both"/>
        <w:rPr>
          <w:rFonts w:ascii="Verdana" w:hAnsi="Verdana"/>
          <w:sz w:val="20"/>
          <w:szCs w:val="20"/>
        </w:rPr>
      </w:pPr>
    </w:p>
    <w:p w14:paraId="78E10CC6" w14:textId="77777777" w:rsidR="00E20101" w:rsidRDefault="00E20101" w:rsidP="00E20101">
      <w:pPr>
        <w:spacing w:after="0"/>
        <w:jc w:val="both"/>
        <w:rPr>
          <w:rFonts w:ascii="Verdana" w:hAnsi="Verdana"/>
          <w:sz w:val="20"/>
          <w:szCs w:val="20"/>
        </w:rPr>
      </w:pPr>
      <w:r>
        <w:rPr>
          <w:rFonts w:ascii="Verdana" w:hAnsi="Verdana"/>
          <w:sz w:val="20"/>
          <w:szCs w:val="20"/>
        </w:rPr>
        <w:t>2.5.50.</w:t>
      </w:r>
    </w:p>
    <w:p w14:paraId="23E2F3EE" w14:textId="15054DAA" w:rsidR="009D1CDF" w:rsidRPr="00E20101" w:rsidRDefault="00E20101" w:rsidP="00E20101">
      <w:pPr>
        <w:spacing w:after="0"/>
        <w:jc w:val="both"/>
        <w:rPr>
          <w:rFonts w:ascii="Verdana" w:hAnsi="Verdana"/>
          <w:sz w:val="20"/>
          <w:szCs w:val="20"/>
        </w:rPr>
      </w:pPr>
      <w:r>
        <w:rPr>
          <w:rFonts w:ascii="Verdana" w:hAnsi="Verdana"/>
          <w:sz w:val="20"/>
          <w:szCs w:val="20"/>
        </w:rPr>
        <w:t xml:space="preserve">Para </w:t>
      </w:r>
      <w:r w:rsidR="009D1CDF" w:rsidRPr="00E20101">
        <w:rPr>
          <w:rFonts w:ascii="Verdana" w:hAnsi="Verdana"/>
          <w:sz w:val="20"/>
          <w:szCs w:val="20"/>
        </w:rPr>
        <w:t>llevar a cabo el referido trámite de acreditación de la reserva de siniestros avisados, bajo el régimen de reservas del país en el que se encuentra ubicada cada subordinada, el holding financiero debe presentar a la SFC una comunicación manifestando su intención de adelantar dicho trámite y anexar los siguientes documentos:</w:t>
      </w:r>
    </w:p>
    <w:p w14:paraId="4C29BDE6" w14:textId="77777777" w:rsidR="00E20101" w:rsidRDefault="00E20101" w:rsidP="00E20101">
      <w:pPr>
        <w:spacing w:after="0"/>
        <w:jc w:val="both"/>
        <w:rPr>
          <w:rFonts w:ascii="Verdana" w:hAnsi="Verdana"/>
          <w:sz w:val="20"/>
          <w:szCs w:val="20"/>
        </w:rPr>
      </w:pPr>
    </w:p>
    <w:p w14:paraId="36689B88" w14:textId="77777777" w:rsidR="00E91E17" w:rsidRDefault="009D1CDF" w:rsidP="00E91E17">
      <w:pPr>
        <w:pStyle w:val="Prrafodelista"/>
        <w:numPr>
          <w:ilvl w:val="0"/>
          <w:numId w:val="6"/>
        </w:numPr>
        <w:spacing w:after="0"/>
        <w:ind w:left="567" w:hanging="567"/>
        <w:jc w:val="both"/>
        <w:rPr>
          <w:rFonts w:ascii="Verdana" w:hAnsi="Verdana"/>
          <w:sz w:val="20"/>
          <w:szCs w:val="20"/>
        </w:rPr>
      </w:pPr>
      <w:r w:rsidRPr="00E20101">
        <w:rPr>
          <w:rFonts w:ascii="Verdana" w:hAnsi="Verdana"/>
          <w:sz w:val="20"/>
          <w:szCs w:val="20"/>
        </w:rPr>
        <w:t>El análisis técnico, actuarial y jurídico que sustenta la solicitud. Dicho documento debe incluir una opinión legal que contenga las referencias normativas aplicables y un concepto técnico referente al contenido de la normatividad aplicable a la subordinada del exterior para el cálculo de la reserva técnica de siniestros avisados, y su correspondencia con la normatividad establecida para el cálculo de esta reserva en Colombia. Este concepto debe estar suscrito por el representante legal del holding financiero, el actuario designado por dicho holding y un abogado interno o externo que esté autorizado para ejercer el derecho en el país en el que se encuentra cada subordinada.</w:t>
      </w:r>
    </w:p>
    <w:p w14:paraId="79EEE1EA" w14:textId="77777777" w:rsidR="00E91E17" w:rsidRDefault="00E91E17" w:rsidP="00E91E17">
      <w:pPr>
        <w:pStyle w:val="Prrafodelista"/>
        <w:spacing w:after="0"/>
        <w:ind w:left="567"/>
        <w:jc w:val="both"/>
        <w:rPr>
          <w:rFonts w:ascii="Verdana" w:hAnsi="Verdana"/>
          <w:sz w:val="20"/>
          <w:szCs w:val="20"/>
        </w:rPr>
      </w:pPr>
    </w:p>
    <w:p w14:paraId="122208F5" w14:textId="1EB1529E" w:rsidR="00E91E17" w:rsidRDefault="009D1CDF" w:rsidP="00E91E17">
      <w:pPr>
        <w:pStyle w:val="Prrafodelista"/>
        <w:numPr>
          <w:ilvl w:val="0"/>
          <w:numId w:val="6"/>
        </w:numPr>
        <w:spacing w:after="0"/>
        <w:ind w:left="567" w:hanging="567"/>
        <w:jc w:val="both"/>
        <w:rPr>
          <w:rFonts w:ascii="Verdana" w:hAnsi="Verdana"/>
          <w:sz w:val="20"/>
          <w:szCs w:val="20"/>
        </w:rPr>
      </w:pPr>
      <w:r w:rsidRPr="00E91E17">
        <w:rPr>
          <w:rFonts w:ascii="Verdana" w:hAnsi="Verdana"/>
          <w:sz w:val="20"/>
          <w:szCs w:val="20"/>
        </w:rPr>
        <w:t>El análisis cuantitativo, comparando el capital adecuado del holding financiero estimado bajo la implementación del régimen de reservas técnicas colombiano y el régimen del país de operación de la subordinada, el cual debe estar suscrito por el representante legal del holding financiero.</w:t>
      </w:r>
    </w:p>
    <w:p w14:paraId="257AB55A" w14:textId="77777777" w:rsidR="00E91E17" w:rsidRDefault="00E91E17" w:rsidP="00E91E17">
      <w:pPr>
        <w:spacing w:after="0"/>
        <w:jc w:val="both"/>
        <w:rPr>
          <w:rFonts w:ascii="Verdana" w:hAnsi="Verdana"/>
          <w:sz w:val="20"/>
          <w:szCs w:val="20"/>
        </w:rPr>
      </w:pPr>
    </w:p>
    <w:p w14:paraId="5DB6A305" w14:textId="77777777" w:rsidR="00E91E17" w:rsidRDefault="00EF37AA" w:rsidP="00E91E17">
      <w:pPr>
        <w:spacing w:after="0"/>
        <w:jc w:val="both"/>
        <w:rPr>
          <w:rFonts w:ascii="Verdana" w:hAnsi="Verdana"/>
          <w:sz w:val="20"/>
          <w:szCs w:val="20"/>
        </w:rPr>
      </w:pPr>
      <w:r>
        <w:rPr>
          <w:rFonts w:ascii="Verdana" w:hAnsi="Verdana"/>
          <w:sz w:val="20"/>
          <w:szCs w:val="20"/>
        </w:rPr>
        <w:t>2.5.</w:t>
      </w:r>
      <w:r w:rsidR="00AE4567">
        <w:rPr>
          <w:rFonts w:ascii="Verdana" w:hAnsi="Verdana"/>
          <w:sz w:val="20"/>
          <w:szCs w:val="20"/>
        </w:rPr>
        <w:t>51</w:t>
      </w:r>
      <w:r>
        <w:rPr>
          <w:rFonts w:ascii="Verdana" w:hAnsi="Verdana"/>
          <w:sz w:val="20"/>
          <w:szCs w:val="20"/>
        </w:rPr>
        <w:t>.</w:t>
      </w:r>
    </w:p>
    <w:p w14:paraId="6EB42965" w14:textId="78C94DB2" w:rsidR="009D1CDF" w:rsidRPr="00507671" w:rsidRDefault="009D1CDF" w:rsidP="00E91E17">
      <w:pPr>
        <w:spacing w:after="0"/>
        <w:jc w:val="both"/>
        <w:rPr>
          <w:rFonts w:ascii="Verdana" w:hAnsi="Verdana"/>
          <w:sz w:val="20"/>
          <w:szCs w:val="20"/>
        </w:rPr>
      </w:pPr>
      <w:r w:rsidRPr="00507671">
        <w:rPr>
          <w:rFonts w:ascii="Verdana" w:hAnsi="Verdana"/>
          <w:sz w:val="20"/>
          <w:szCs w:val="20"/>
        </w:rPr>
        <w:t xml:space="preserve">Este trámite de acreditación se debe realizar dentro de los 2 meses siguientes al acto administrativo que identifique al holding financiero como parte de un conglomerado </w:t>
      </w:r>
      <w:r w:rsidRPr="00507671">
        <w:rPr>
          <w:rFonts w:ascii="Verdana" w:hAnsi="Verdana"/>
          <w:sz w:val="20"/>
          <w:szCs w:val="20"/>
        </w:rPr>
        <w:lastRenderedPageBreak/>
        <w:t>financiero sujeto a su supervisión o en el plazo previsto en el respectivo acto administrativo.</w:t>
      </w:r>
    </w:p>
    <w:p w14:paraId="10A50C9E" w14:textId="77777777" w:rsidR="009D1CDF" w:rsidRPr="00507671" w:rsidRDefault="009D1CDF" w:rsidP="009D1CDF">
      <w:pPr>
        <w:spacing w:after="0"/>
        <w:jc w:val="both"/>
        <w:rPr>
          <w:rFonts w:ascii="Verdana" w:hAnsi="Verdana"/>
          <w:sz w:val="20"/>
          <w:szCs w:val="20"/>
        </w:rPr>
      </w:pPr>
    </w:p>
    <w:p w14:paraId="1BA29A9E" w14:textId="46BDD600" w:rsidR="00E91E17" w:rsidRDefault="00E91E17" w:rsidP="00E91E17">
      <w:pPr>
        <w:spacing w:after="0"/>
        <w:jc w:val="both"/>
        <w:rPr>
          <w:rFonts w:ascii="Verdana" w:hAnsi="Verdana"/>
          <w:sz w:val="20"/>
          <w:szCs w:val="20"/>
        </w:rPr>
      </w:pPr>
      <w:r w:rsidRPr="543C6D08">
        <w:rPr>
          <w:rFonts w:ascii="Verdana" w:hAnsi="Verdana"/>
          <w:sz w:val="20"/>
          <w:szCs w:val="20"/>
        </w:rPr>
        <w:t>2.5.5</w:t>
      </w:r>
      <w:r w:rsidR="5EECD7EA" w:rsidRPr="543C6D08">
        <w:rPr>
          <w:rFonts w:ascii="Verdana" w:hAnsi="Verdana"/>
          <w:sz w:val="20"/>
          <w:szCs w:val="20"/>
        </w:rPr>
        <w:t>2</w:t>
      </w:r>
      <w:r w:rsidRPr="543C6D08">
        <w:rPr>
          <w:rFonts w:ascii="Verdana" w:hAnsi="Verdana"/>
          <w:sz w:val="20"/>
          <w:szCs w:val="20"/>
        </w:rPr>
        <w:t>.</w:t>
      </w:r>
    </w:p>
    <w:p w14:paraId="26E1C5DE" w14:textId="0D54ACA3" w:rsidR="009D1CDF" w:rsidRPr="00E91E17" w:rsidRDefault="009D1CDF" w:rsidP="00E91E17">
      <w:pPr>
        <w:spacing w:after="0"/>
        <w:jc w:val="both"/>
        <w:rPr>
          <w:rFonts w:ascii="Verdana" w:hAnsi="Verdana"/>
          <w:sz w:val="20"/>
          <w:szCs w:val="20"/>
        </w:rPr>
      </w:pPr>
      <w:r w:rsidRPr="00E91E17">
        <w:rPr>
          <w:rFonts w:ascii="Verdana" w:hAnsi="Verdana"/>
          <w:sz w:val="20"/>
          <w:szCs w:val="20"/>
        </w:rPr>
        <w:t>En el evento en que se presenten cambios materiales en la normatividad específica que reduzcan o eliminen los presupuestos legales y actuariales bajo los cuales se efectuó el análisis de equivalencias y se otorgó la acreditación a un régimen de reservas técnicas del exterior, en su componente de reservas de siniestros avisados, el holding financiero, dentro de los 45 días calendario siguientes a la expedición de la normatividad modificatoria, debe remitir a la SFC la siguiente documentación, con el fin de que pueda verificar si se mantienen las condiciones de equivalencia:</w:t>
      </w:r>
    </w:p>
    <w:p w14:paraId="3E709F87" w14:textId="77777777" w:rsidR="009D1CDF" w:rsidRPr="00507671" w:rsidRDefault="009D1CDF" w:rsidP="009D1CDF">
      <w:pPr>
        <w:spacing w:after="0"/>
        <w:jc w:val="both"/>
        <w:rPr>
          <w:rFonts w:ascii="Verdana" w:hAnsi="Verdana"/>
          <w:sz w:val="20"/>
          <w:szCs w:val="20"/>
        </w:rPr>
      </w:pPr>
    </w:p>
    <w:p w14:paraId="180C683B" w14:textId="77777777" w:rsidR="00E91E17" w:rsidRDefault="009D1CDF" w:rsidP="00E91E17">
      <w:pPr>
        <w:pStyle w:val="Prrafodelista"/>
        <w:numPr>
          <w:ilvl w:val="0"/>
          <w:numId w:val="28"/>
        </w:numPr>
        <w:spacing w:after="0"/>
        <w:ind w:left="567" w:hanging="567"/>
        <w:jc w:val="both"/>
        <w:rPr>
          <w:rFonts w:ascii="Verdana" w:hAnsi="Verdana"/>
          <w:sz w:val="20"/>
          <w:szCs w:val="20"/>
        </w:rPr>
      </w:pPr>
      <w:r w:rsidRPr="00E91E17">
        <w:rPr>
          <w:rFonts w:ascii="Verdana" w:hAnsi="Verdana"/>
          <w:sz w:val="20"/>
          <w:szCs w:val="20"/>
        </w:rPr>
        <w:t>El análisis técnico, actuarial y jurídico que sustenta la solicitud. Dicho documento debe incluir una opinión legal que contenga las referencias normativas aplicables y un concepto referente al contenido de la normatividad aplicable a la subordinada del exterior para el cálculo de la reserva técnica de siniestros avisados, y su correspondencia con la normatividad establecida para el cálculo de esta reserva en Colombia. Este análisis debe estar suscrito por el representante legal del holding financiero, el actuario designado por dicho holding y un abogado interno o externo que esté autorizado para ejercer el derecho en el país en el que se encuentra cada subordinada.</w:t>
      </w:r>
    </w:p>
    <w:p w14:paraId="47FE9B11" w14:textId="77777777" w:rsidR="00E91E17" w:rsidRDefault="00E91E17" w:rsidP="00E91E17">
      <w:pPr>
        <w:pStyle w:val="Prrafodelista"/>
        <w:spacing w:after="0"/>
        <w:ind w:left="567"/>
        <w:jc w:val="both"/>
        <w:rPr>
          <w:rFonts w:ascii="Verdana" w:hAnsi="Verdana"/>
          <w:sz w:val="20"/>
          <w:szCs w:val="20"/>
        </w:rPr>
      </w:pPr>
    </w:p>
    <w:p w14:paraId="590295DA" w14:textId="2F07596E" w:rsidR="009D1CDF" w:rsidRPr="00E91E17" w:rsidRDefault="009D1CDF" w:rsidP="00E91E17">
      <w:pPr>
        <w:pStyle w:val="Prrafodelista"/>
        <w:numPr>
          <w:ilvl w:val="0"/>
          <w:numId w:val="28"/>
        </w:numPr>
        <w:spacing w:after="0"/>
        <w:ind w:left="567" w:hanging="567"/>
        <w:jc w:val="both"/>
        <w:rPr>
          <w:rFonts w:ascii="Verdana" w:hAnsi="Verdana"/>
          <w:sz w:val="20"/>
          <w:szCs w:val="20"/>
        </w:rPr>
      </w:pPr>
      <w:r w:rsidRPr="00E91E17">
        <w:rPr>
          <w:rFonts w:ascii="Verdana" w:hAnsi="Verdana"/>
          <w:sz w:val="20"/>
          <w:szCs w:val="20"/>
        </w:rPr>
        <w:t>El análisis cuantitativo, comparando: (i) el capital adecuado del holding financiero estimado bajo la implementación del régimen de reservas colombiano, (</w:t>
      </w:r>
      <w:proofErr w:type="spellStart"/>
      <w:r w:rsidRPr="00E91E17">
        <w:rPr>
          <w:rFonts w:ascii="Verdana" w:hAnsi="Verdana"/>
          <w:sz w:val="20"/>
          <w:szCs w:val="20"/>
        </w:rPr>
        <w:t>ii</w:t>
      </w:r>
      <w:proofErr w:type="spellEnd"/>
      <w:r w:rsidRPr="00E91E17">
        <w:rPr>
          <w:rFonts w:ascii="Verdana" w:hAnsi="Verdana"/>
          <w:sz w:val="20"/>
          <w:szCs w:val="20"/>
        </w:rPr>
        <w:t>) el capital adecuado del holding financiero estimado bajo la implementación del régimen de reservas acreditado como equivalente al colombiano, y (</w:t>
      </w:r>
      <w:proofErr w:type="spellStart"/>
      <w:r w:rsidRPr="00E91E17">
        <w:rPr>
          <w:rFonts w:ascii="Verdana" w:hAnsi="Verdana"/>
          <w:sz w:val="20"/>
          <w:szCs w:val="20"/>
        </w:rPr>
        <w:t>iii</w:t>
      </w:r>
      <w:proofErr w:type="spellEnd"/>
      <w:r w:rsidRPr="00E91E17">
        <w:rPr>
          <w:rFonts w:ascii="Verdana" w:hAnsi="Verdana"/>
          <w:sz w:val="20"/>
          <w:szCs w:val="20"/>
        </w:rPr>
        <w:t>) el capital adecuado del holding financiero estimado bajo la implementación del nuevo régimen de reservas técnicas del exterior.</w:t>
      </w:r>
    </w:p>
    <w:p w14:paraId="533BB8A7" w14:textId="77777777" w:rsidR="009D1CDF" w:rsidRPr="00507671" w:rsidRDefault="009D1CDF" w:rsidP="009D1CDF">
      <w:pPr>
        <w:spacing w:after="0"/>
        <w:jc w:val="both"/>
        <w:rPr>
          <w:rFonts w:ascii="Verdana" w:hAnsi="Verdana"/>
          <w:sz w:val="20"/>
          <w:szCs w:val="20"/>
        </w:rPr>
      </w:pPr>
    </w:p>
    <w:p w14:paraId="4CF1FB2C" w14:textId="2A6E3793" w:rsidR="00FC4E47" w:rsidRDefault="00FC4E47" w:rsidP="00FC4E47">
      <w:pPr>
        <w:spacing w:after="0"/>
        <w:jc w:val="both"/>
        <w:rPr>
          <w:rFonts w:ascii="Verdana" w:hAnsi="Verdana"/>
          <w:sz w:val="20"/>
          <w:szCs w:val="20"/>
        </w:rPr>
      </w:pPr>
      <w:r w:rsidRPr="543C6D08">
        <w:rPr>
          <w:rFonts w:ascii="Verdana" w:hAnsi="Verdana"/>
          <w:sz w:val="20"/>
          <w:szCs w:val="20"/>
        </w:rPr>
        <w:t>2.5.</w:t>
      </w:r>
      <w:r w:rsidR="00AE4567" w:rsidRPr="543C6D08">
        <w:rPr>
          <w:rFonts w:ascii="Verdana" w:hAnsi="Verdana"/>
          <w:sz w:val="20"/>
          <w:szCs w:val="20"/>
        </w:rPr>
        <w:t>5</w:t>
      </w:r>
      <w:r w:rsidR="42254CE7" w:rsidRPr="543C6D08">
        <w:rPr>
          <w:rFonts w:ascii="Verdana" w:hAnsi="Verdana"/>
          <w:sz w:val="20"/>
          <w:szCs w:val="20"/>
        </w:rPr>
        <w:t>3</w:t>
      </w:r>
      <w:r w:rsidRPr="543C6D08">
        <w:rPr>
          <w:rFonts w:ascii="Verdana" w:hAnsi="Verdana"/>
          <w:sz w:val="20"/>
          <w:szCs w:val="20"/>
        </w:rPr>
        <w:t>.</w:t>
      </w:r>
    </w:p>
    <w:p w14:paraId="524DE8D5" w14:textId="3AD3C4E6" w:rsidR="009D1CDF" w:rsidRPr="00507671" w:rsidRDefault="009D1CDF" w:rsidP="543C6D08">
      <w:pPr>
        <w:spacing w:after="0"/>
        <w:jc w:val="both"/>
        <w:rPr>
          <w:rFonts w:ascii="Verdana" w:hAnsi="Verdana"/>
          <w:b/>
          <w:bCs/>
          <w:sz w:val="20"/>
          <w:szCs w:val="20"/>
        </w:rPr>
      </w:pPr>
      <w:r w:rsidRPr="543C6D08">
        <w:rPr>
          <w:rFonts w:ascii="Verdana" w:hAnsi="Verdana"/>
          <w:sz w:val="20"/>
          <w:szCs w:val="20"/>
        </w:rPr>
        <w:t xml:space="preserve">Para la identificación de los siniestros extremos de que trata el parágrafo del artículo 2.31.1.2.6 del Decreto 2555 de 2010, para cada una de las subordinadas del exterior, el holding financiero debe replicar la metodología aplicada por la SFC para la determinación del umbral señalado en el </w:t>
      </w:r>
      <w:r w:rsidRPr="0005687E">
        <w:rPr>
          <w:rFonts w:ascii="Verdana" w:hAnsi="Verdana"/>
          <w:sz w:val="20"/>
          <w:szCs w:val="20"/>
        </w:rPr>
        <w:t xml:space="preserve">subnumeral 2.1.2.1.1 del </w:t>
      </w:r>
      <w:r w:rsidR="0005687E">
        <w:rPr>
          <w:rFonts w:ascii="Verdana" w:hAnsi="Verdana"/>
          <w:sz w:val="20"/>
          <w:szCs w:val="20"/>
        </w:rPr>
        <w:t>c</w:t>
      </w:r>
      <w:r w:rsidRPr="0005687E">
        <w:rPr>
          <w:rFonts w:ascii="Verdana" w:hAnsi="Verdana"/>
          <w:sz w:val="20"/>
          <w:szCs w:val="20"/>
        </w:rPr>
        <w:t xml:space="preserve">apítulo II del </w:t>
      </w:r>
      <w:r w:rsidR="0005687E">
        <w:rPr>
          <w:rFonts w:ascii="Verdana" w:hAnsi="Verdana"/>
          <w:sz w:val="20"/>
          <w:szCs w:val="20"/>
        </w:rPr>
        <w:t>t</w:t>
      </w:r>
      <w:r w:rsidRPr="0005687E">
        <w:rPr>
          <w:rFonts w:ascii="Verdana" w:hAnsi="Verdana"/>
          <w:sz w:val="20"/>
          <w:szCs w:val="20"/>
        </w:rPr>
        <w:t xml:space="preserve">ítulo IV de la </w:t>
      </w:r>
      <w:r w:rsidR="0005687E">
        <w:rPr>
          <w:rFonts w:ascii="Verdana" w:hAnsi="Verdana"/>
          <w:sz w:val="20"/>
          <w:szCs w:val="20"/>
        </w:rPr>
        <w:t>p</w:t>
      </w:r>
      <w:r w:rsidRPr="0005687E">
        <w:rPr>
          <w:rFonts w:ascii="Verdana" w:hAnsi="Verdana"/>
          <w:sz w:val="20"/>
          <w:szCs w:val="20"/>
        </w:rPr>
        <w:t>arte II de la CBJ</w:t>
      </w:r>
      <w:r w:rsidRPr="543C6D08">
        <w:rPr>
          <w:rFonts w:ascii="Verdana" w:hAnsi="Verdana"/>
          <w:sz w:val="20"/>
          <w:szCs w:val="20"/>
        </w:rPr>
        <w:t xml:space="preserve"> y que consta en el documento técnico publicado en la página web de la SFC. Para la aplicación de dicha metodología debe emplearse la información de los siniestros propios de cada subordinada del exterior correspondientes por lo menos a los últimos 10 años.</w:t>
      </w:r>
      <w:r w:rsidRPr="543C6D08">
        <w:rPr>
          <w:rFonts w:ascii="Verdana" w:hAnsi="Verdana"/>
          <w:b/>
          <w:bCs/>
          <w:sz w:val="20"/>
          <w:szCs w:val="20"/>
        </w:rPr>
        <w:t xml:space="preserve"> </w:t>
      </w:r>
    </w:p>
    <w:p w14:paraId="260A98F6" w14:textId="5F77A5CC" w:rsidR="543C6D08" w:rsidRDefault="543C6D08" w:rsidP="543C6D08">
      <w:pPr>
        <w:spacing w:after="0"/>
        <w:jc w:val="both"/>
        <w:rPr>
          <w:rFonts w:ascii="Verdana" w:hAnsi="Verdana"/>
          <w:b/>
          <w:bCs/>
          <w:sz w:val="20"/>
          <w:szCs w:val="20"/>
        </w:rPr>
      </w:pPr>
    </w:p>
    <w:p w14:paraId="7051DA26" w14:textId="677045E7" w:rsidR="00EF37AA" w:rsidRDefault="00EF37AA" w:rsidP="00EF37AA">
      <w:pPr>
        <w:spacing w:after="0"/>
        <w:jc w:val="both"/>
        <w:rPr>
          <w:rFonts w:ascii="Verdana" w:hAnsi="Verdana"/>
          <w:sz w:val="20"/>
          <w:szCs w:val="20"/>
        </w:rPr>
      </w:pPr>
      <w:r w:rsidRPr="543C6D08">
        <w:rPr>
          <w:rFonts w:ascii="Verdana" w:hAnsi="Verdana"/>
          <w:sz w:val="20"/>
          <w:szCs w:val="20"/>
        </w:rPr>
        <w:t>2.5.</w:t>
      </w:r>
      <w:r w:rsidR="00AE4567" w:rsidRPr="543C6D08">
        <w:rPr>
          <w:rFonts w:ascii="Verdana" w:hAnsi="Verdana"/>
          <w:sz w:val="20"/>
          <w:szCs w:val="20"/>
        </w:rPr>
        <w:t>5</w:t>
      </w:r>
      <w:r w:rsidR="5A8A8CF6" w:rsidRPr="543C6D08">
        <w:rPr>
          <w:rFonts w:ascii="Verdana" w:hAnsi="Verdana"/>
          <w:sz w:val="20"/>
          <w:szCs w:val="20"/>
        </w:rPr>
        <w:t>4</w:t>
      </w:r>
      <w:r w:rsidRPr="543C6D08">
        <w:rPr>
          <w:rFonts w:ascii="Verdana" w:hAnsi="Verdana"/>
          <w:sz w:val="20"/>
          <w:szCs w:val="20"/>
        </w:rPr>
        <w:t>.</w:t>
      </w:r>
    </w:p>
    <w:p w14:paraId="11EA2739" w14:textId="77777777" w:rsidR="009D1CDF" w:rsidRPr="00507671" w:rsidRDefault="009D1CDF" w:rsidP="009D1CDF">
      <w:pPr>
        <w:spacing w:after="0"/>
        <w:jc w:val="both"/>
        <w:rPr>
          <w:rFonts w:ascii="Verdana" w:hAnsi="Verdana"/>
          <w:bCs/>
          <w:sz w:val="20"/>
          <w:szCs w:val="20"/>
        </w:rPr>
      </w:pPr>
      <w:r w:rsidRPr="00507671">
        <w:rPr>
          <w:rFonts w:ascii="Verdana" w:hAnsi="Verdana"/>
          <w:bCs/>
          <w:sz w:val="20"/>
          <w:szCs w:val="20"/>
        </w:rPr>
        <w:t>Cuando la subordinada del exterior no disponga de información de los últimos 10 años o el volumen de información sea insuficiente, el holding financiero debe escoger una metodología para la determinación de los valores extremos. Dicha metodología debe contar con suficiente desarrollo, tanto teórico como práctico, y guardar correspondencia con las características propias de la cartera de riesgos de la subordinada del exterior. Dicha metodología se debe mantener a disposición de la SFC junto con la información empleada.</w:t>
      </w:r>
    </w:p>
    <w:p w14:paraId="5EEF6223" w14:textId="77777777" w:rsidR="009D1CDF" w:rsidRPr="00507671" w:rsidRDefault="009D1CDF" w:rsidP="009D1CDF">
      <w:pPr>
        <w:spacing w:after="0"/>
        <w:jc w:val="both"/>
        <w:rPr>
          <w:rFonts w:ascii="Verdana" w:hAnsi="Verdana"/>
          <w:bCs/>
          <w:sz w:val="20"/>
          <w:szCs w:val="20"/>
        </w:rPr>
      </w:pPr>
    </w:p>
    <w:p w14:paraId="4DCCB63F" w14:textId="11062667" w:rsidR="00EF37AA" w:rsidRDefault="00EF37AA" w:rsidP="00EF37AA">
      <w:pPr>
        <w:spacing w:after="0"/>
        <w:jc w:val="both"/>
        <w:rPr>
          <w:rFonts w:ascii="Verdana" w:hAnsi="Verdana"/>
          <w:sz w:val="20"/>
          <w:szCs w:val="20"/>
        </w:rPr>
      </w:pPr>
      <w:r w:rsidRPr="543C6D08">
        <w:rPr>
          <w:rFonts w:ascii="Verdana" w:hAnsi="Verdana"/>
          <w:sz w:val="20"/>
          <w:szCs w:val="20"/>
        </w:rPr>
        <w:t>2.5.</w:t>
      </w:r>
      <w:r w:rsidR="00FC4E47" w:rsidRPr="543C6D08">
        <w:rPr>
          <w:rFonts w:ascii="Verdana" w:hAnsi="Verdana"/>
          <w:sz w:val="20"/>
          <w:szCs w:val="20"/>
        </w:rPr>
        <w:t>5</w:t>
      </w:r>
      <w:r w:rsidR="2BDAA45D" w:rsidRPr="543C6D08">
        <w:rPr>
          <w:rFonts w:ascii="Verdana" w:hAnsi="Verdana"/>
          <w:sz w:val="20"/>
          <w:szCs w:val="20"/>
        </w:rPr>
        <w:t>5</w:t>
      </w:r>
      <w:r w:rsidRPr="543C6D08">
        <w:rPr>
          <w:rFonts w:ascii="Verdana" w:hAnsi="Verdana"/>
          <w:sz w:val="20"/>
          <w:szCs w:val="20"/>
        </w:rPr>
        <w:t>.</w:t>
      </w:r>
    </w:p>
    <w:p w14:paraId="2094CDE8" w14:textId="6144AC42" w:rsidR="009D1CDF" w:rsidRPr="00507671" w:rsidRDefault="009D1CDF" w:rsidP="009D1CDF">
      <w:pPr>
        <w:spacing w:after="0"/>
        <w:jc w:val="both"/>
        <w:rPr>
          <w:rFonts w:ascii="Verdana" w:hAnsi="Verdana"/>
          <w:bCs/>
          <w:sz w:val="20"/>
          <w:szCs w:val="20"/>
        </w:rPr>
      </w:pPr>
      <w:r w:rsidRPr="00507671">
        <w:rPr>
          <w:rFonts w:ascii="Verdana" w:hAnsi="Verdana"/>
          <w:bCs/>
          <w:sz w:val="20"/>
          <w:szCs w:val="20"/>
        </w:rPr>
        <w:t xml:space="preserve">En el caso de los siniestros extremos del ramo de terremoto, el holding financiero debe aplicar las instrucciones </w:t>
      </w:r>
      <w:r w:rsidRPr="009C1C23">
        <w:rPr>
          <w:rFonts w:ascii="Verdana" w:hAnsi="Verdana"/>
          <w:sz w:val="20"/>
          <w:szCs w:val="20"/>
        </w:rPr>
        <w:t xml:space="preserve">del subnumeral 2.1.2.1.1 del </w:t>
      </w:r>
      <w:r w:rsidR="009C1C23" w:rsidRPr="009C1C23">
        <w:rPr>
          <w:rFonts w:ascii="Verdana" w:hAnsi="Verdana"/>
          <w:bCs/>
          <w:sz w:val="20"/>
          <w:szCs w:val="20"/>
        </w:rPr>
        <w:t>c</w:t>
      </w:r>
      <w:r w:rsidRPr="009C1C23">
        <w:rPr>
          <w:rFonts w:ascii="Verdana" w:hAnsi="Verdana"/>
          <w:bCs/>
          <w:sz w:val="20"/>
          <w:szCs w:val="20"/>
        </w:rPr>
        <w:t>apítulo</w:t>
      </w:r>
      <w:r w:rsidRPr="009C1C23">
        <w:rPr>
          <w:rFonts w:ascii="Verdana" w:hAnsi="Verdana"/>
          <w:sz w:val="20"/>
          <w:szCs w:val="20"/>
        </w:rPr>
        <w:t xml:space="preserve"> II del </w:t>
      </w:r>
      <w:r w:rsidR="009C1C23" w:rsidRPr="009C1C23">
        <w:rPr>
          <w:rFonts w:ascii="Verdana" w:hAnsi="Verdana"/>
          <w:bCs/>
          <w:sz w:val="20"/>
          <w:szCs w:val="20"/>
        </w:rPr>
        <w:t>t</w:t>
      </w:r>
      <w:r w:rsidRPr="009C1C23">
        <w:rPr>
          <w:rFonts w:ascii="Verdana" w:hAnsi="Verdana"/>
          <w:bCs/>
          <w:sz w:val="20"/>
          <w:szCs w:val="20"/>
        </w:rPr>
        <w:t>ítulo</w:t>
      </w:r>
      <w:r w:rsidRPr="009C1C23">
        <w:rPr>
          <w:rFonts w:ascii="Verdana" w:hAnsi="Verdana"/>
          <w:sz w:val="20"/>
          <w:szCs w:val="20"/>
        </w:rPr>
        <w:t xml:space="preserve"> IV de la </w:t>
      </w:r>
      <w:r w:rsidR="009C1C23" w:rsidRPr="009C1C23">
        <w:rPr>
          <w:rFonts w:ascii="Verdana" w:hAnsi="Verdana"/>
          <w:bCs/>
          <w:sz w:val="20"/>
          <w:szCs w:val="20"/>
        </w:rPr>
        <w:t>p</w:t>
      </w:r>
      <w:r w:rsidRPr="009C1C23">
        <w:rPr>
          <w:rFonts w:ascii="Verdana" w:hAnsi="Verdana"/>
          <w:bCs/>
          <w:sz w:val="20"/>
          <w:szCs w:val="20"/>
        </w:rPr>
        <w:t>arte</w:t>
      </w:r>
      <w:r w:rsidRPr="009C1C23">
        <w:rPr>
          <w:rFonts w:ascii="Verdana" w:hAnsi="Verdana"/>
          <w:sz w:val="20"/>
          <w:szCs w:val="20"/>
        </w:rPr>
        <w:t xml:space="preserve"> II de la CBJ</w:t>
      </w:r>
      <w:r w:rsidRPr="00507671">
        <w:rPr>
          <w:rFonts w:ascii="Verdana" w:hAnsi="Verdana"/>
          <w:bCs/>
          <w:sz w:val="20"/>
          <w:szCs w:val="20"/>
        </w:rPr>
        <w:t>, por las cuales se hace referencia a las normas relativas al cálculo de las reservas técnicas del ramo de terremoto señaladas en el artículo 2.31.5.1.1 y siguientes del Decreto 2555 de 2010 y sus instrucciones reglamentarias.</w:t>
      </w:r>
    </w:p>
    <w:p w14:paraId="07ABF40F" w14:textId="77777777" w:rsidR="009D1CDF" w:rsidRPr="00507671" w:rsidRDefault="009D1CDF" w:rsidP="009D1CDF">
      <w:pPr>
        <w:spacing w:after="0"/>
        <w:jc w:val="both"/>
        <w:rPr>
          <w:rFonts w:ascii="Verdana" w:hAnsi="Verdana"/>
          <w:b/>
          <w:bCs/>
          <w:sz w:val="20"/>
          <w:szCs w:val="20"/>
        </w:rPr>
      </w:pPr>
    </w:p>
    <w:p w14:paraId="25D02BE4" w14:textId="4923AC1D" w:rsidR="00EF37AA" w:rsidRDefault="00EF37AA" w:rsidP="00EF37AA">
      <w:pPr>
        <w:spacing w:after="0"/>
        <w:jc w:val="both"/>
        <w:rPr>
          <w:rFonts w:ascii="Verdana" w:hAnsi="Verdana"/>
          <w:sz w:val="20"/>
          <w:szCs w:val="20"/>
        </w:rPr>
      </w:pPr>
      <w:r w:rsidRPr="543C6D08">
        <w:rPr>
          <w:rFonts w:ascii="Verdana" w:hAnsi="Verdana"/>
          <w:sz w:val="20"/>
          <w:szCs w:val="20"/>
        </w:rPr>
        <w:t>2.5.</w:t>
      </w:r>
      <w:r w:rsidR="00507CDE" w:rsidRPr="543C6D08">
        <w:rPr>
          <w:rFonts w:ascii="Verdana" w:hAnsi="Verdana"/>
          <w:sz w:val="20"/>
          <w:szCs w:val="20"/>
        </w:rPr>
        <w:t>5</w:t>
      </w:r>
      <w:r w:rsidR="65999892" w:rsidRPr="543C6D08">
        <w:rPr>
          <w:rFonts w:ascii="Verdana" w:hAnsi="Verdana"/>
          <w:sz w:val="20"/>
          <w:szCs w:val="20"/>
        </w:rPr>
        <w:t>6</w:t>
      </w:r>
      <w:r w:rsidRPr="543C6D08">
        <w:rPr>
          <w:rFonts w:ascii="Verdana" w:hAnsi="Verdana"/>
          <w:sz w:val="20"/>
          <w:szCs w:val="20"/>
        </w:rPr>
        <w:t>.</w:t>
      </w:r>
    </w:p>
    <w:p w14:paraId="66258F92" w14:textId="3338E1BC" w:rsidR="00E91E17" w:rsidRDefault="009D1CDF" w:rsidP="009D1CDF">
      <w:pPr>
        <w:spacing w:after="0"/>
        <w:jc w:val="both"/>
        <w:rPr>
          <w:rFonts w:ascii="Verdana" w:hAnsi="Verdana"/>
          <w:sz w:val="20"/>
          <w:szCs w:val="20"/>
        </w:rPr>
      </w:pPr>
      <w:r w:rsidRPr="00507671">
        <w:rPr>
          <w:rFonts w:ascii="Verdana" w:hAnsi="Verdana"/>
          <w:bCs/>
          <w:sz w:val="20"/>
          <w:szCs w:val="20"/>
        </w:rPr>
        <w:t>Cuando en el cálculo del patrimonio adecuado se identifiquen siniestros extremos, el holding financiero debe remitir una comunicación a la SFC informando esta situación.</w:t>
      </w:r>
    </w:p>
    <w:p w14:paraId="083EA4ED" w14:textId="77777777" w:rsidR="009C1C23" w:rsidRDefault="009C1C23" w:rsidP="009D1CDF">
      <w:pPr>
        <w:spacing w:after="0"/>
        <w:jc w:val="both"/>
        <w:rPr>
          <w:rFonts w:ascii="Verdana" w:hAnsi="Verdana"/>
          <w:bCs/>
          <w:sz w:val="20"/>
          <w:szCs w:val="20"/>
        </w:rPr>
      </w:pPr>
    </w:p>
    <w:p w14:paraId="36D49D6D" w14:textId="77777777" w:rsidR="009C1C23" w:rsidRDefault="009C1C23" w:rsidP="009D1CDF">
      <w:pPr>
        <w:spacing w:after="0"/>
        <w:jc w:val="both"/>
        <w:rPr>
          <w:rFonts w:ascii="Verdana" w:hAnsi="Verdana"/>
          <w:bCs/>
          <w:sz w:val="20"/>
          <w:szCs w:val="20"/>
        </w:rPr>
      </w:pPr>
    </w:p>
    <w:p w14:paraId="6D626235" w14:textId="77777777" w:rsidR="009C1C23" w:rsidRDefault="009C1C23" w:rsidP="009D1CDF">
      <w:pPr>
        <w:spacing w:after="0"/>
        <w:jc w:val="both"/>
        <w:rPr>
          <w:rFonts w:ascii="Verdana" w:hAnsi="Verdana"/>
          <w:bCs/>
          <w:sz w:val="20"/>
          <w:szCs w:val="20"/>
        </w:rPr>
      </w:pPr>
    </w:p>
    <w:p w14:paraId="2E91EAD7" w14:textId="77777777" w:rsidR="009C1C23" w:rsidRDefault="009C1C23" w:rsidP="009D1CDF">
      <w:pPr>
        <w:spacing w:after="0"/>
        <w:jc w:val="both"/>
        <w:rPr>
          <w:rFonts w:ascii="Verdana" w:hAnsi="Verdana"/>
          <w:bCs/>
          <w:sz w:val="20"/>
          <w:szCs w:val="20"/>
        </w:rPr>
      </w:pPr>
    </w:p>
    <w:p w14:paraId="0A270B13" w14:textId="77777777" w:rsidR="009C1C23" w:rsidRDefault="009C1C23" w:rsidP="009D1CDF">
      <w:pPr>
        <w:spacing w:after="0"/>
        <w:jc w:val="both"/>
        <w:rPr>
          <w:rFonts w:ascii="Verdana" w:hAnsi="Verdana"/>
          <w:bCs/>
          <w:sz w:val="20"/>
          <w:szCs w:val="20"/>
        </w:rPr>
      </w:pPr>
    </w:p>
    <w:p w14:paraId="3F6C989E" w14:textId="77777777" w:rsidR="009C1C23" w:rsidRPr="0005687E" w:rsidRDefault="009C1C23" w:rsidP="009D1CDF">
      <w:pPr>
        <w:spacing w:after="0"/>
        <w:jc w:val="both"/>
        <w:rPr>
          <w:rFonts w:ascii="Verdana" w:hAnsi="Verdana"/>
          <w:bCs/>
          <w:sz w:val="20"/>
          <w:szCs w:val="20"/>
        </w:rPr>
      </w:pPr>
    </w:p>
    <w:p w14:paraId="3FF3A5D4" w14:textId="77777777" w:rsidR="00E91E17" w:rsidRDefault="00E91E17" w:rsidP="009D1CDF">
      <w:pPr>
        <w:spacing w:after="0"/>
        <w:jc w:val="both"/>
        <w:rPr>
          <w:rFonts w:ascii="Verdana" w:hAnsi="Verdana"/>
          <w:b/>
          <w:sz w:val="20"/>
          <w:szCs w:val="20"/>
        </w:rPr>
      </w:pPr>
    </w:p>
    <w:p w14:paraId="69A4484F" w14:textId="4C283ADE" w:rsidR="009D1CDF" w:rsidRPr="00E91E17" w:rsidRDefault="009D1CDF" w:rsidP="00E91E17">
      <w:pPr>
        <w:pStyle w:val="Prrafodelista"/>
        <w:numPr>
          <w:ilvl w:val="0"/>
          <w:numId w:val="26"/>
        </w:numPr>
        <w:spacing w:after="0"/>
        <w:ind w:left="851" w:hanging="284"/>
        <w:jc w:val="both"/>
        <w:rPr>
          <w:rFonts w:ascii="Verdana" w:hAnsi="Verdana"/>
          <w:b/>
          <w:sz w:val="20"/>
          <w:szCs w:val="20"/>
        </w:rPr>
      </w:pPr>
      <w:r w:rsidRPr="00E91E17">
        <w:rPr>
          <w:rFonts w:ascii="Verdana" w:hAnsi="Verdana"/>
          <w:b/>
          <w:sz w:val="20"/>
          <w:szCs w:val="20"/>
        </w:rPr>
        <w:lastRenderedPageBreak/>
        <w:t>Entidades de seguros de vida</w:t>
      </w:r>
    </w:p>
    <w:p w14:paraId="5E76EF51" w14:textId="77777777" w:rsidR="009D1CDF" w:rsidRPr="00507671" w:rsidRDefault="009D1CDF" w:rsidP="009D1CDF">
      <w:pPr>
        <w:spacing w:after="0"/>
        <w:jc w:val="both"/>
        <w:rPr>
          <w:rFonts w:ascii="Verdana" w:hAnsi="Verdana"/>
          <w:sz w:val="20"/>
          <w:szCs w:val="20"/>
        </w:rPr>
      </w:pPr>
    </w:p>
    <w:p w14:paraId="13C7D07E" w14:textId="0F859A13" w:rsidR="009D1CDF" w:rsidRPr="00E91E17" w:rsidRDefault="009D1CDF" w:rsidP="00E91E17">
      <w:pPr>
        <w:pStyle w:val="Prrafodelista"/>
        <w:numPr>
          <w:ilvl w:val="0"/>
          <w:numId w:val="26"/>
        </w:numPr>
        <w:spacing w:after="0"/>
        <w:ind w:left="1134" w:hanging="283"/>
        <w:jc w:val="both"/>
        <w:rPr>
          <w:rFonts w:ascii="Verdana" w:hAnsi="Verdana"/>
          <w:b/>
          <w:bCs/>
          <w:sz w:val="20"/>
          <w:szCs w:val="20"/>
        </w:rPr>
      </w:pPr>
      <w:r w:rsidRPr="00E91E17">
        <w:rPr>
          <w:rFonts w:ascii="Verdana" w:hAnsi="Verdana"/>
          <w:b/>
          <w:bCs/>
          <w:sz w:val="20"/>
          <w:szCs w:val="20"/>
        </w:rPr>
        <w:t>Operaciones en ramos o productos a los que les aplica la reserva matemática</w:t>
      </w:r>
    </w:p>
    <w:p w14:paraId="739631FC" w14:textId="77777777" w:rsidR="009D1CDF" w:rsidRPr="00507671" w:rsidRDefault="009D1CDF" w:rsidP="009D1CDF">
      <w:pPr>
        <w:spacing w:after="0"/>
        <w:jc w:val="both"/>
        <w:rPr>
          <w:rFonts w:ascii="Verdana" w:hAnsi="Verdana"/>
          <w:sz w:val="20"/>
          <w:szCs w:val="20"/>
        </w:rPr>
      </w:pPr>
    </w:p>
    <w:p w14:paraId="249DE6AE" w14:textId="4B9003A7" w:rsidR="00EF37AA" w:rsidRDefault="00EF37AA" w:rsidP="00EF37AA">
      <w:pPr>
        <w:spacing w:after="0"/>
        <w:jc w:val="both"/>
        <w:rPr>
          <w:rFonts w:ascii="Verdana" w:hAnsi="Verdana"/>
          <w:sz w:val="20"/>
          <w:szCs w:val="20"/>
        </w:rPr>
      </w:pPr>
      <w:r w:rsidRPr="543C6D08">
        <w:rPr>
          <w:rFonts w:ascii="Verdana" w:hAnsi="Verdana"/>
          <w:sz w:val="20"/>
          <w:szCs w:val="20"/>
        </w:rPr>
        <w:t>2.5.</w:t>
      </w:r>
      <w:r w:rsidR="002767DF" w:rsidRPr="543C6D08">
        <w:rPr>
          <w:rFonts w:ascii="Verdana" w:hAnsi="Verdana"/>
          <w:sz w:val="20"/>
          <w:szCs w:val="20"/>
        </w:rPr>
        <w:t>5</w:t>
      </w:r>
      <w:r w:rsidR="306A5A19" w:rsidRPr="543C6D08">
        <w:rPr>
          <w:rFonts w:ascii="Verdana" w:hAnsi="Verdana"/>
          <w:sz w:val="20"/>
          <w:szCs w:val="20"/>
        </w:rPr>
        <w:t>7</w:t>
      </w:r>
      <w:r w:rsidRPr="543C6D08">
        <w:rPr>
          <w:rFonts w:ascii="Verdana" w:hAnsi="Verdana"/>
          <w:sz w:val="20"/>
          <w:szCs w:val="20"/>
        </w:rPr>
        <w:t>.</w:t>
      </w:r>
    </w:p>
    <w:p w14:paraId="09C845C2" w14:textId="7E30E30F" w:rsidR="009D1CDF" w:rsidRPr="00507671" w:rsidRDefault="009D1CDF" w:rsidP="000B6D7E">
      <w:pPr>
        <w:spacing w:after="0"/>
        <w:jc w:val="both"/>
        <w:rPr>
          <w:rFonts w:ascii="Verdana" w:hAnsi="Verdana"/>
          <w:sz w:val="20"/>
          <w:szCs w:val="20"/>
        </w:rPr>
      </w:pPr>
      <w:r w:rsidRPr="00507671">
        <w:rPr>
          <w:rFonts w:ascii="Verdana" w:hAnsi="Verdana"/>
          <w:sz w:val="20"/>
          <w:szCs w:val="20"/>
        </w:rPr>
        <w:t>En el cálculo del importe correspondiente a las operaciones en ramos o productos para los cuales se deba constituir la reserva matemática, esto es:</w:t>
      </w:r>
      <w:r w:rsidR="000B6D7E">
        <w:rPr>
          <w:rFonts w:ascii="Verdana" w:hAnsi="Verdana"/>
          <w:sz w:val="20"/>
          <w:szCs w:val="20"/>
        </w:rPr>
        <w:t xml:space="preserve"> (i) s</w:t>
      </w:r>
      <w:r w:rsidRPr="00507671">
        <w:rPr>
          <w:rFonts w:ascii="Verdana" w:hAnsi="Verdana"/>
          <w:sz w:val="20"/>
          <w:szCs w:val="20"/>
        </w:rPr>
        <w:t>eguros de vida individual</w:t>
      </w:r>
      <w:r w:rsidR="000B6D7E">
        <w:rPr>
          <w:rFonts w:ascii="Verdana" w:hAnsi="Verdana"/>
          <w:sz w:val="20"/>
          <w:szCs w:val="20"/>
        </w:rPr>
        <w:t>; (</w:t>
      </w:r>
      <w:proofErr w:type="spellStart"/>
      <w:r w:rsidR="000B6D7E">
        <w:rPr>
          <w:rFonts w:ascii="Verdana" w:hAnsi="Verdana"/>
          <w:sz w:val="20"/>
          <w:szCs w:val="20"/>
        </w:rPr>
        <w:t>ii</w:t>
      </w:r>
      <w:proofErr w:type="spellEnd"/>
      <w:r w:rsidR="000B6D7E">
        <w:rPr>
          <w:rFonts w:ascii="Verdana" w:hAnsi="Verdana"/>
          <w:sz w:val="20"/>
          <w:szCs w:val="20"/>
        </w:rPr>
        <w:t>) s</w:t>
      </w:r>
      <w:r w:rsidRPr="00507671">
        <w:rPr>
          <w:rFonts w:ascii="Verdana" w:hAnsi="Verdana"/>
          <w:sz w:val="20"/>
          <w:szCs w:val="20"/>
        </w:rPr>
        <w:t>eguros cuyo beneficio se pague en forma de renta</w:t>
      </w:r>
      <w:r w:rsidR="000B6D7E">
        <w:rPr>
          <w:rFonts w:ascii="Verdana" w:hAnsi="Verdana"/>
          <w:sz w:val="20"/>
          <w:szCs w:val="20"/>
        </w:rPr>
        <w:t>; (</w:t>
      </w:r>
      <w:proofErr w:type="spellStart"/>
      <w:r w:rsidR="000B6D7E">
        <w:rPr>
          <w:rFonts w:ascii="Verdana" w:hAnsi="Verdana"/>
          <w:sz w:val="20"/>
          <w:szCs w:val="20"/>
        </w:rPr>
        <w:t>iii</w:t>
      </w:r>
      <w:proofErr w:type="spellEnd"/>
      <w:r w:rsidR="000B6D7E">
        <w:rPr>
          <w:rFonts w:ascii="Verdana" w:hAnsi="Verdana"/>
          <w:sz w:val="20"/>
          <w:szCs w:val="20"/>
        </w:rPr>
        <w:t>) a</w:t>
      </w:r>
      <w:r w:rsidRPr="00507671">
        <w:rPr>
          <w:rFonts w:ascii="Verdana" w:hAnsi="Verdana"/>
          <w:sz w:val="20"/>
          <w:szCs w:val="20"/>
        </w:rPr>
        <w:t>mparos cuya prima se calcule en forma nivelada</w:t>
      </w:r>
      <w:r w:rsidR="000B6D7E">
        <w:rPr>
          <w:rFonts w:ascii="Verdana" w:hAnsi="Verdana"/>
          <w:sz w:val="20"/>
          <w:szCs w:val="20"/>
        </w:rPr>
        <w:t>; y (</w:t>
      </w:r>
      <w:proofErr w:type="spellStart"/>
      <w:r w:rsidR="000B6D7E">
        <w:rPr>
          <w:rFonts w:ascii="Verdana" w:hAnsi="Verdana"/>
          <w:sz w:val="20"/>
          <w:szCs w:val="20"/>
        </w:rPr>
        <w:t>iv</w:t>
      </w:r>
      <w:proofErr w:type="spellEnd"/>
      <w:r w:rsidR="000B6D7E">
        <w:rPr>
          <w:rFonts w:ascii="Verdana" w:hAnsi="Verdana"/>
          <w:sz w:val="20"/>
          <w:szCs w:val="20"/>
        </w:rPr>
        <w:t>) c</w:t>
      </w:r>
      <w:r w:rsidRPr="00507671">
        <w:rPr>
          <w:rFonts w:ascii="Verdana" w:hAnsi="Verdana"/>
          <w:sz w:val="20"/>
          <w:szCs w:val="20"/>
        </w:rPr>
        <w:t>ualquier otro ramo o producto al que le sea aplicable la reserva matemática</w:t>
      </w:r>
      <w:r w:rsidR="000B6D7E">
        <w:rPr>
          <w:rFonts w:ascii="Verdana" w:hAnsi="Verdana"/>
          <w:sz w:val="20"/>
          <w:szCs w:val="20"/>
        </w:rPr>
        <w:t>.</w:t>
      </w:r>
    </w:p>
    <w:p w14:paraId="6328D095" w14:textId="77777777" w:rsidR="009D1CDF" w:rsidRPr="00507671" w:rsidRDefault="009D1CDF" w:rsidP="009D1CDF">
      <w:pPr>
        <w:spacing w:after="0"/>
        <w:jc w:val="both"/>
        <w:rPr>
          <w:rFonts w:ascii="Verdana" w:hAnsi="Verdana"/>
          <w:sz w:val="20"/>
          <w:szCs w:val="20"/>
        </w:rPr>
      </w:pPr>
    </w:p>
    <w:p w14:paraId="3CEBCBDD" w14:textId="4FC99E2C" w:rsidR="000B6D7E" w:rsidRDefault="000B6D7E" w:rsidP="000B6D7E">
      <w:pPr>
        <w:spacing w:after="0"/>
        <w:jc w:val="both"/>
        <w:rPr>
          <w:rFonts w:ascii="Verdana" w:hAnsi="Verdana"/>
          <w:sz w:val="20"/>
          <w:szCs w:val="20"/>
        </w:rPr>
      </w:pPr>
      <w:r w:rsidRPr="543C6D08">
        <w:rPr>
          <w:rFonts w:ascii="Verdana" w:hAnsi="Verdana"/>
          <w:sz w:val="20"/>
          <w:szCs w:val="20"/>
        </w:rPr>
        <w:t>2.5.</w:t>
      </w:r>
      <w:r w:rsidR="00DA5FB8" w:rsidRPr="543C6D08">
        <w:rPr>
          <w:rFonts w:ascii="Verdana" w:hAnsi="Verdana"/>
          <w:sz w:val="20"/>
          <w:szCs w:val="20"/>
        </w:rPr>
        <w:t>5</w:t>
      </w:r>
      <w:r w:rsidR="410C0F61" w:rsidRPr="543C6D08">
        <w:rPr>
          <w:rFonts w:ascii="Verdana" w:hAnsi="Verdana"/>
          <w:sz w:val="20"/>
          <w:szCs w:val="20"/>
        </w:rPr>
        <w:t>8</w:t>
      </w:r>
      <w:r w:rsidRPr="543C6D08">
        <w:rPr>
          <w:rFonts w:ascii="Verdana" w:hAnsi="Verdana"/>
          <w:sz w:val="20"/>
          <w:szCs w:val="20"/>
        </w:rPr>
        <w:t>.</w:t>
      </w:r>
    </w:p>
    <w:p w14:paraId="2FD6CB4E"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El holding financiero debe determinar para cada país de domicilio de la subordinada, la reserva matemática de acuerdo con las instrucciones establecidas en los artículos 2.31.4.3.2 y 2.31.4.3.3 del Decreto 2555 de 2010, con las siguientes aclaraciones:</w:t>
      </w:r>
    </w:p>
    <w:p w14:paraId="5E424DBE" w14:textId="77777777" w:rsidR="009D1CDF" w:rsidRPr="00507671" w:rsidRDefault="009D1CDF" w:rsidP="009D1CDF">
      <w:pPr>
        <w:spacing w:after="0"/>
        <w:jc w:val="both"/>
        <w:rPr>
          <w:rFonts w:ascii="Verdana" w:hAnsi="Verdana"/>
          <w:sz w:val="20"/>
          <w:szCs w:val="20"/>
        </w:rPr>
      </w:pPr>
    </w:p>
    <w:p w14:paraId="138A39FE" w14:textId="127F723B" w:rsidR="00020EE1" w:rsidRDefault="009D1CDF" w:rsidP="00020EE1">
      <w:pPr>
        <w:pStyle w:val="Prrafodelista"/>
        <w:numPr>
          <w:ilvl w:val="0"/>
          <w:numId w:val="29"/>
        </w:numPr>
        <w:spacing w:after="0"/>
        <w:ind w:left="567" w:hanging="567"/>
        <w:jc w:val="both"/>
        <w:rPr>
          <w:rFonts w:ascii="Verdana" w:hAnsi="Verdana"/>
          <w:sz w:val="20"/>
          <w:szCs w:val="20"/>
        </w:rPr>
      </w:pPr>
      <w:r w:rsidRPr="00E91E17">
        <w:rPr>
          <w:rFonts w:ascii="Verdana" w:hAnsi="Verdana"/>
          <w:sz w:val="20"/>
          <w:szCs w:val="20"/>
        </w:rPr>
        <w:t>La tasa de mercado de referencia de que trata el numeral 2</w:t>
      </w:r>
      <w:r w:rsidR="00DC1ADC">
        <w:rPr>
          <w:rFonts w:ascii="Verdana" w:hAnsi="Verdana"/>
          <w:sz w:val="20"/>
          <w:szCs w:val="20"/>
        </w:rPr>
        <w:t xml:space="preserve"> del</w:t>
      </w:r>
      <w:r w:rsidRPr="00E91E17">
        <w:rPr>
          <w:rFonts w:ascii="Verdana" w:hAnsi="Verdana"/>
          <w:sz w:val="20"/>
          <w:szCs w:val="20"/>
        </w:rPr>
        <w:t xml:space="preserve"> literal </w:t>
      </w:r>
      <w:r w:rsidR="00DC1ADC">
        <w:rPr>
          <w:rFonts w:ascii="Verdana" w:hAnsi="Verdana"/>
          <w:sz w:val="20"/>
          <w:szCs w:val="20"/>
        </w:rPr>
        <w:t>(</w:t>
      </w:r>
      <w:r w:rsidRPr="00E91E17">
        <w:rPr>
          <w:rFonts w:ascii="Verdana" w:hAnsi="Verdana"/>
          <w:sz w:val="20"/>
          <w:szCs w:val="20"/>
        </w:rPr>
        <w:t>a</w:t>
      </w:r>
      <w:r w:rsidR="00DC1ADC">
        <w:rPr>
          <w:rFonts w:ascii="Verdana" w:hAnsi="Verdana"/>
          <w:sz w:val="20"/>
          <w:szCs w:val="20"/>
        </w:rPr>
        <w:t>)</w:t>
      </w:r>
      <w:r w:rsidRPr="00E91E17">
        <w:rPr>
          <w:rFonts w:ascii="Verdana" w:hAnsi="Verdana"/>
          <w:sz w:val="20"/>
          <w:szCs w:val="20"/>
        </w:rPr>
        <w:t xml:space="preserve"> del artículo 2.31.4.3.2 del Decreto 2555 de 2010 corresponderá a la determinada por el supervisor del país de domicilio de la subordinada.</w:t>
      </w:r>
    </w:p>
    <w:p w14:paraId="743020FE" w14:textId="77777777" w:rsidR="00020EE1" w:rsidRDefault="00020EE1" w:rsidP="00020EE1">
      <w:pPr>
        <w:pStyle w:val="Prrafodelista"/>
        <w:spacing w:after="0"/>
        <w:ind w:left="567"/>
        <w:jc w:val="both"/>
        <w:rPr>
          <w:rFonts w:ascii="Verdana" w:hAnsi="Verdana"/>
          <w:sz w:val="20"/>
          <w:szCs w:val="20"/>
        </w:rPr>
      </w:pPr>
    </w:p>
    <w:p w14:paraId="2D8142A4" w14:textId="77777777" w:rsidR="00020EE1" w:rsidRDefault="009D1CDF" w:rsidP="00020EE1">
      <w:pPr>
        <w:pStyle w:val="Prrafodelista"/>
        <w:numPr>
          <w:ilvl w:val="0"/>
          <w:numId w:val="29"/>
        </w:numPr>
        <w:spacing w:after="0"/>
        <w:ind w:left="567" w:hanging="567"/>
        <w:jc w:val="both"/>
        <w:rPr>
          <w:rFonts w:ascii="Verdana" w:hAnsi="Verdana"/>
          <w:sz w:val="20"/>
          <w:szCs w:val="20"/>
        </w:rPr>
      </w:pPr>
      <w:r w:rsidRPr="00020EE1">
        <w:rPr>
          <w:rFonts w:ascii="Verdana" w:hAnsi="Verdana"/>
          <w:sz w:val="20"/>
          <w:szCs w:val="20"/>
        </w:rPr>
        <w:t>Las tablas de mortalidad y de invalidez, referidas en el literal d del artículo 2.31.4.3.2 y el literal b. del artículo 2.31.4.3.3 del Decreto 2555 de 2010, serán las establecidas por el regulador o supervisor de seguros del respectivo país o las tablas de mortalidad e invalidez propias de la entidad en caso de que la regulación del país permita su uso.</w:t>
      </w:r>
    </w:p>
    <w:p w14:paraId="52E667CA" w14:textId="77777777" w:rsidR="00020EE1" w:rsidRPr="00020EE1" w:rsidRDefault="00020EE1" w:rsidP="00020EE1">
      <w:pPr>
        <w:pStyle w:val="Prrafodelista"/>
        <w:rPr>
          <w:rFonts w:ascii="Verdana" w:hAnsi="Verdana"/>
          <w:sz w:val="20"/>
          <w:szCs w:val="20"/>
        </w:rPr>
      </w:pPr>
    </w:p>
    <w:p w14:paraId="764AE368" w14:textId="77777777" w:rsidR="00020EE1" w:rsidRDefault="009D1CDF" w:rsidP="00020EE1">
      <w:pPr>
        <w:pStyle w:val="Prrafodelista"/>
        <w:numPr>
          <w:ilvl w:val="0"/>
          <w:numId w:val="29"/>
        </w:numPr>
        <w:spacing w:after="0"/>
        <w:ind w:left="567" w:hanging="567"/>
        <w:jc w:val="both"/>
        <w:rPr>
          <w:rFonts w:ascii="Verdana" w:hAnsi="Verdana"/>
          <w:sz w:val="20"/>
          <w:szCs w:val="20"/>
        </w:rPr>
      </w:pPr>
      <w:r w:rsidRPr="00020EE1">
        <w:rPr>
          <w:rFonts w:ascii="Verdana" w:hAnsi="Verdana"/>
          <w:sz w:val="20"/>
          <w:szCs w:val="20"/>
        </w:rPr>
        <w:t>La tasa de interés técnico a la que se refiere el artículo 2.31.4.3.3 del Decreto 2555 de 2010, será la determinada por el supervisor del país de domicilio de la subordinada, para el caso de productos tales como rentas vitalicias y productos de conmutación pensional.</w:t>
      </w:r>
    </w:p>
    <w:p w14:paraId="3203135B" w14:textId="77777777" w:rsidR="00020EE1" w:rsidRPr="00020EE1" w:rsidRDefault="00020EE1" w:rsidP="00020EE1">
      <w:pPr>
        <w:pStyle w:val="Prrafodelista"/>
        <w:rPr>
          <w:rFonts w:ascii="Verdana" w:hAnsi="Verdana"/>
          <w:sz w:val="20"/>
          <w:szCs w:val="20"/>
        </w:rPr>
      </w:pPr>
    </w:p>
    <w:p w14:paraId="38314568" w14:textId="45BCC7D4" w:rsidR="009D1CDF" w:rsidRPr="00020EE1" w:rsidRDefault="009D1CDF" w:rsidP="00020EE1">
      <w:pPr>
        <w:pStyle w:val="Prrafodelista"/>
        <w:numPr>
          <w:ilvl w:val="0"/>
          <w:numId w:val="29"/>
        </w:numPr>
        <w:spacing w:after="0"/>
        <w:ind w:left="567" w:hanging="567"/>
        <w:jc w:val="both"/>
        <w:rPr>
          <w:rFonts w:ascii="Verdana" w:hAnsi="Verdana"/>
          <w:sz w:val="20"/>
          <w:szCs w:val="20"/>
        </w:rPr>
      </w:pPr>
      <w:r w:rsidRPr="00020EE1">
        <w:rPr>
          <w:rFonts w:ascii="Verdana" w:hAnsi="Verdana"/>
          <w:sz w:val="20"/>
          <w:szCs w:val="20"/>
        </w:rPr>
        <w:t>Las tasas de inflación, de crecimiento de los beneficios pensionales y las participaciones de utilidades deben reconocer las condiciones macroeconómicas propias del país objeto de cálculo y corresponder con aquellas pactadas en el producto (ya sea por acuerdo entre las partes o por instrucción de la normatividad del respectivo país), para el caso de productos tales como, rentas vitalicias y productos de conmutación pensional.</w:t>
      </w:r>
    </w:p>
    <w:p w14:paraId="55408377" w14:textId="77777777" w:rsidR="009D1CDF" w:rsidRPr="00507671" w:rsidRDefault="009D1CDF" w:rsidP="009D1CDF">
      <w:pPr>
        <w:spacing w:after="0"/>
        <w:jc w:val="both"/>
        <w:rPr>
          <w:rFonts w:ascii="Verdana" w:hAnsi="Verdana"/>
          <w:sz w:val="20"/>
          <w:szCs w:val="20"/>
        </w:rPr>
      </w:pPr>
    </w:p>
    <w:p w14:paraId="27006085" w14:textId="0F74A365" w:rsidR="009D1CDF" w:rsidRPr="00020EE1" w:rsidRDefault="009D1CDF" w:rsidP="00020EE1">
      <w:pPr>
        <w:pStyle w:val="Prrafodelista"/>
        <w:numPr>
          <w:ilvl w:val="0"/>
          <w:numId w:val="30"/>
        </w:numPr>
        <w:spacing w:after="0"/>
        <w:ind w:left="1134" w:hanging="283"/>
        <w:jc w:val="both"/>
        <w:rPr>
          <w:rFonts w:ascii="Verdana" w:hAnsi="Verdana"/>
          <w:b/>
          <w:bCs/>
          <w:sz w:val="20"/>
          <w:szCs w:val="20"/>
        </w:rPr>
      </w:pPr>
      <w:r w:rsidRPr="00020EE1">
        <w:rPr>
          <w:rFonts w:ascii="Verdana" w:hAnsi="Verdana"/>
          <w:b/>
          <w:bCs/>
          <w:sz w:val="20"/>
          <w:szCs w:val="20"/>
        </w:rPr>
        <w:t>Operaciones en otros ramos o productos a los que no les aplica la reserva matemática</w:t>
      </w:r>
    </w:p>
    <w:p w14:paraId="5483A48F" w14:textId="77777777" w:rsidR="009D1CDF" w:rsidRPr="00507671" w:rsidRDefault="009D1CDF" w:rsidP="009D1CDF">
      <w:pPr>
        <w:spacing w:after="0"/>
        <w:jc w:val="both"/>
        <w:rPr>
          <w:rFonts w:ascii="Verdana" w:hAnsi="Verdana"/>
          <w:sz w:val="20"/>
          <w:szCs w:val="20"/>
        </w:rPr>
      </w:pPr>
    </w:p>
    <w:p w14:paraId="4906CA6B" w14:textId="67921ECF" w:rsidR="00020EE1" w:rsidRDefault="00020EE1" w:rsidP="00020EE1">
      <w:pPr>
        <w:spacing w:after="0"/>
        <w:jc w:val="both"/>
        <w:rPr>
          <w:rFonts w:ascii="Verdana" w:hAnsi="Verdana"/>
          <w:sz w:val="20"/>
          <w:szCs w:val="20"/>
        </w:rPr>
      </w:pPr>
      <w:r w:rsidRPr="543C6D08">
        <w:rPr>
          <w:rFonts w:ascii="Verdana" w:hAnsi="Verdana"/>
          <w:sz w:val="20"/>
          <w:szCs w:val="20"/>
        </w:rPr>
        <w:t>2.5.5</w:t>
      </w:r>
      <w:r w:rsidR="7AE595BD" w:rsidRPr="543C6D08">
        <w:rPr>
          <w:rFonts w:ascii="Verdana" w:hAnsi="Verdana"/>
          <w:sz w:val="20"/>
          <w:szCs w:val="20"/>
        </w:rPr>
        <w:t>9</w:t>
      </w:r>
      <w:r w:rsidRPr="543C6D08">
        <w:rPr>
          <w:rFonts w:ascii="Verdana" w:hAnsi="Verdana"/>
          <w:sz w:val="20"/>
          <w:szCs w:val="20"/>
        </w:rPr>
        <w:t>.</w:t>
      </w:r>
    </w:p>
    <w:p w14:paraId="594CDE69" w14:textId="790E87B8" w:rsidR="009D1CDF" w:rsidRPr="00020EE1" w:rsidRDefault="009D1CDF" w:rsidP="00020EE1">
      <w:pPr>
        <w:spacing w:after="0"/>
        <w:jc w:val="both"/>
        <w:rPr>
          <w:rFonts w:ascii="Verdana" w:hAnsi="Verdana"/>
          <w:sz w:val="20"/>
          <w:szCs w:val="20"/>
        </w:rPr>
      </w:pPr>
      <w:r w:rsidRPr="00020EE1">
        <w:rPr>
          <w:rFonts w:ascii="Verdana" w:hAnsi="Verdana"/>
          <w:sz w:val="20"/>
          <w:szCs w:val="20"/>
        </w:rPr>
        <w:t>Determinación de los límites señalados en UVR: En el cálculo del importe correspondiente a las operaciones en otros ramos o productos, para la aplicación por primera vez, el límite de UVR se determinará tal como se establece en</w:t>
      </w:r>
      <w:r w:rsidR="00A943DF">
        <w:rPr>
          <w:rFonts w:ascii="Verdana" w:hAnsi="Verdana"/>
          <w:sz w:val="20"/>
          <w:szCs w:val="20"/>
        </w:rPr>
        <w:t>tre los párrafos</w:t>
      </w:r>
      <w:r w:rsidR="004A13E7">
        <w:rPr>
          <w:rFonts w:ascii="Verdana" w:hAnsi="Verdana"/>
          <w:sz w:val="20"/>
          <w:szCs w:val="20"/>
        </w:rPr>
        <w:t xml:space="preserve"> 2.5.</w:t>
      </w:r>
      <w:r w:rsidR="00A943DF">
        <w:rPr>
          <w:rFonts w:ascii="Verdana" w:hAnsi="Verdana"/>
          <w:sz w:val="20"/>
          <w:szCs w:val="20"/>
        </w:rPr>
        <w:t>39. y</w:t>
      </w:r>
      <w:r w:rsidDel="00246394">
        <w:rPr>
          <w:rFonts w:ascii="Verdana" w:hAnsi="Verdana"/>
          <w:sz w:val="20"/>
          <w:szCs w:val="20"/>
        </w:rPr>
        <w:t xml:space="preserve"> 2.5.</w:t>
      </w:r>
      <w:r w:rsidR="00A943DF">
        <w:rPr>
          <w:rFonts w:ascii="Verdana" w:hAnsi="Verdana"/>
          <w:sz w:val="20"/>
          <w:szCs w:val="20"/>
        </w:rPr>
        <w:t>56.</w:t>
      </w:r>
    </w:p>
    <w:p w14:paraId="7803598D" w14:textId="77777777" w:rsidR="00020EE1" w:rsidRDefault="00020EE1" w:rsidP="00020EE1">
      <w:pPr>
        <w:spacing w:after="0"/>
        <w:jc w:val="both"/>
        <w:rPr>
          <w:rFonts w:ascii="Verdana" w:hAnsi="Verdana"/>
          <w:sz w:val="20"/>
          <w:szCs w:val="20"/>
        </w:rPr>
      </w:pPr>
    </w:p>
    <w:p w14:paraId="679DC2ED" w14:textId="1590F13C" w:rsidR="000B6D7E" w:rsidRDefault="000B6D7E" w:rsidP="00020EE1">
      <w:pPr>
        <w:spacing w:after="0"/>
        <w:jc w:val="both"/>
        <w:rPr>
          <w:rFonts w:ascii="Verdana" w:hAnsi="Verdana"/>
          <w:sz w:val="20"/>
          <w:szCs w:val="20"/>
        </w:rPr>
      </w:pPr>
      <w:r w:rsidRPr="543C6D08">
        <w:rPr>
          <w:rFonts w:ascii="Verdana" w:hAnsi="Verdana"/>
          <w:sz w:val="20"/>
          <w:szCs w:val="20"/>
        </w:rPr>
        <w:t>2.5.</w:t>
      </w:r>
      <w:r w:rsidR="5A0DDDC0" w:rsidRPr="543C6D08">
        <w:rPr>
          <w:rFonts w:ascii="Verdana" w:hAnsi="Verdana"/>
          <w:sz w:val="20"/>
          <w:szCs w:val="20"/>
        </w:rPr>
        <w:t>60</w:t>
      </w:r>
      <w:r w:rsidRPr="543C6D08">
        <w:rPr>
          <w:rFonts w:ascii="Verdana" w:hAnsi="Verdana"/>
          <w:sz w:val="20"/>
          <w:szCs w:val="20"/>
        </w:rPr>
        <w:t>.</w:t>
      </w:r>
    </w:p>
    <w:p w14:paraId="32C7BAA6" w14:textId="77777777" w:rsidR="009D1CDF" w:rsidRPr="00507671" w:rsidRDefault="009D1CDF" w:rsidP="00020EE1">
      <w:pPr>
        <w:spacing w:after="0"/>
        <w:jc w:val="both"/>
        <w:rPr>
          <w:rFonts w:ascii="Verdana" w:hAnsi="Verdana"/>
          <w:sz w:val="20"/>
          <w:szCs w:val="20"/>
        </w:rPr>
      </w:pPr>
      <w:r w:rsidRPr="00507671">
        <w:rPr>
          <w:rFonts w:ascii="Verdana" w:hAnsi="Verdana"/>
          <w:sz w:val="20"/>
          <w:szCs w:val="20"/>
        </w:rPr>
        <w:t>Para determinar el valor de la mediana, se debe considerar la información de las entidades aseguradoras de vida que acrediten primas y siniestros para seguros que no requieren constitución de reserva matemática.</w:t>
      </w:r>
    </w:p>
    <w:p w14:paraId="33504DA5" w14:textId="77777777" w:rsidR="009D1CDF" w:rsidRPr="00507671" w:rsidRDefault="009D1CDF" w:rsidP="009D1CDF">
      <w:pPr>
        <w:spacing w:after="0"/>
        <w:jc w:val="both"/>
        <w:rPr>
          <w:rFonts w:ascii="Verdana" w:hAnsi="Verdana"/>
          <w:sz w:val="20"/>
          <w:szCs w:val="20"/>
        </w:rPr>
      </w:pPr>
    </w:p>
    <w:p w14:paraId="74F16984" w14:textId="6577CBDB" w:rsidR="00020EE1" w:rsidRDefault="00020EE1" w:rsidP="00020EE1">
      <w:pPr>
        <w:spacing w:after="0"/>
        <w:jc w:val="both"/>
        <w:rPr>
          <w:rFonts w:ascii="Verdana" w:hAnsi="Verdana"/>
          <w:sz w:val="20"/>
          <w:szCs w:val="20"/>
        </w:rPr>
      </w:pPr>
      <w:r w:rsidRPr="543C6D08">
        <w:rPr>
          <w:rFonts w:ascii="Verdana" w:hAnsi="Verdana"/>
          <w:sz w:val="20"/>
          <w:szCs w:val="20"/>
        </w:rPr>
        <w:t>2.5.</w:t>
      </w:r>
      <w:r w:rsidR="013AE908" w:rsidRPr="543C6D08">
        <w:rPr>
          <w:rFonts w:ascii="Verdana" w:hAnsi="Verdana"/>
          <w:sz w:val="20"/>
          <w:szCs w:val="20"/>
        </w:rPr>
        <w:t>61</w:t>
      </w:r>
      <w:r w:rsidRPr="543C6D08">
        <w:rPr>
          <w:rFonts w:ascii="Verdana" w:hAnsi="Verdana"/>
          <w:sz w:val="20"/>
          <w:szCs w:val="20"/>
        </w:rPr>
        <w:t>.</w:t>
      </w:r>
    </w:p>
    <w:p w14:paraId="2ABF7687" w14:textId="6866E6F8" w:rsidR="009D1CDF" w:rsidRPr="00020EE1" w:rsidRDefault="009D1CDF" w:rsidP="00020EE1">
      <w:pPr>
        <w:spacing w:after="0"/>
        <w:jc w:val="both"/>
        <w:rPr>
          <w:rFonts w:ascii="Verdana" w:hAnsi="Verdana"/>
          <w:sz w:val="20"/>
          <w:szCs w:val="20"/>
        </w:rPr>
      </w:pPr>
      <w:r w:rsidRPr="00020EE1">
        <w:rPr>
          <w:rFonts w:ascii="Verdana" w:hAnsi="Verdana"/>
          <w:sz w:val="20"/>
          <w:szCs w:val="20"/>
        </w:rPr>
        <w:t>Cuantificación de siniestros: En la cuantificación de los siniestros de que trata el literal b del artículo 2.31.1.2.7 del Decreto 2555 de 2010, la entidad debe emplear la reserva de siniestros avisados calculada de acuerdo con las instrucciones de acreditación señaladas en</w:t>
      </w:r>
      <w:r w:rsidR="00C506F3">
        <w:rPr>
          <w:rFonts w:ascii="Verdana" w:hAnsi="Verdana"/>
          <w:sz w:val="20"/>
          <w:szCs w:val="20"/>
        </w:rPr>
        <w:t>tre los párrafos</w:t>
      </w:r>
      <w:r w:rsidR="004764BC">
        <w:rPr>
          <w:rFonts w:ascii="Verdana" w:hAnsi="Verdana"/>
          <w:sz w:val="20"/>
          <w:szCs w:val="20"/>
        </w:rPr>
        <w:t xml:space="preserve"> 2.5.</w:t>
      </w:r>
      <w:r w:rsidR="00C506F3">
        <w:rPr>
          <w:rFonts w:ascii="Verdana" w:hAnsi="Verdana"/>
          <w:sz w:val="20"/>
          <w:szCs w:val="20"/>
        </w:rPr>
        <w:t>48. y 2.</w:t>
      </w:r>
      <w:r w:rsidDel="00246394">
        <w:rPr>
          <w:rFonts w:ascii="Verdana" w:hAnsi="Verdana"/>
          <w:sz w:val="20"/>
          <w:szCs w:val="20"/>
        </w:rPr>
        <w:t>5.</w:t>
      </w:r>
      <w:r w:rsidR="00C506F3">
        <w:rPr>
          <w:rFonts w:ascii="Verdana" w:hAnsi="Verdana"/>
          <w:sz w:val="20"/>
          <w:szCs w:val="20"/>
        </w:rPr>
        <w:t>56.</w:t>
      </w:r>
      <w:r w:rsidRPr="00020EE1">
        <w:rPr>
          <w:rFonts w:ascii="Verdana" w:hAnsi="Verdana"/>
          <w:sz w:val="20"/>
          <w:szCs w:val="20"/>
        </w:rPr>
        <w:t xml:space="preserve"> o el régimen colombiano establecido en el artículo 2.31.4.4.1 del Decreto 2555 de 2010 y las disposiciones </w:t>
      </w:r>
      <w:r w:rsidRPr="009B6AE2">
        <w:rPr>
          <w:rFonts w:ascii="Verdana" w:hAnsi="Verdana"/>
          <w:sz w:val="20"/>
          <w:szCs w:val="20"/>
        </w:rPr>
        <w:t xml:space="preserve">del subnumeral 2.2.5.3 del </w:t>
      </w:r>
      <w:r w:rsidR="009B6AE2" w:rsidRPr="009B6AE2">
        <w:rPr>
          <w:rFonts w:ascii="Verdana" w:hAnsi="Verdana"/>
          <w:sz w:val="20"/>
          <w:szCs w:val="20"/>
        </w:rPr>
        <w:t>c</w:t>
      </w:r>
      <w:r w:rsidRPr="009B6AE2">
        <w:rPr>
          <w:rFonts w:ascii="Verdana" w:hAnsi="Verdana"/>
          <w:sz w:val="20"/>
          <w:szCs w:val="20"/>
        </w:rPr>
        <w:t>apítulo II</w:t>
      </w:r>
      <w:r w:rsidR="009B6AE2" w:rsidRPr="009B6AE2">
        <w:rPr>
          <w:rFonts w:ascii="Verdana" w:hAnsi="Verdana"/>
          <w:sz w:val="20"/>
          <w:szCs w:val="20"/>
        </w:rPr>
        <w:t xml:space="preserve"> del t</w:t>
      </w:r>
      <w:r w:rsidRPr="009B6AE2">
        <w:rPr>
          <w:rFonts w:ascii="Verdana" w:hAnsi="Verdana"/>
          <w:sz w:val="20"/>
          <w:szCs w:val="20"/>
        </w:rPr>
        <w:t xml:space="preserve">ítulo IV de la </w:t>
      </w:r>
      <w:r w:rsidR="009B6AE2" w:rsidRPr="009B6AE2">
        <w:rPr>
          <w:rFonts w:ascii="Verdana" w:hAnsi="Verdana"/>
          <w:sz w:val="20"/>
          <w:szCs w:val="20"/>
        </w:rPr>
        <w:t>p</w:t>
      </w:r>
      <w:r w:rsidRPr="009B6AE2">
        <w:rPr>
          <w:rFonts w:ascii="Verdana" w:hAnsi="Verdana"/>
          <w:sz w:val="20"/>
          <w:szCs w:val="20"/>
        </w:rPr>
        <w:t>arte 2 de la CBJ</w:t>
      </w:r>
      <w:r w:rsidRPr="00020EE1">
        <w:rPr>
          <w:rFonts w:ascii="Verdana" w:hAnsi="Verdana"/>
          <w:sz w:val="20"/>
          <w:szCs w:val="20"/>
        </w:rPr>
        <w:t>.</w:t>
      </w:r>
    </w:p>
    <w:p w14:paraId="0E32ECBE" w14:textId="77777777" w:rsidR="009D1CDF" w:rsidRPr="00CB0AC4" w:rsidRDefault="009D1CDF" w:rsidP="009D1CDF">
      <w:pPr>
        <w:spacing w:after="0"/>
        <w:jc w:val="both"/>
        <w:rPr>
          <w:rFonts w:ascii="Verdana" w:hAnsi="Verdana"/>
          <w:sz w:val="20"/>
          <w:szCs w:val="20"/>
        </w:rPr>
      </w:pPr>
    </w:p>
    <w:p w14:paraId="2870E3D5" w14:textId="3A467426" w:rsidR="000B6D7E" w:rsidRDefault="000B6D7E" w:rsidP="000B6D7E">
      <w:pPr>
        <w:spacing w:after="0"/>
        <w:jc w:val="both"/>
        <w:rPr>
          <w:rFonts w:ascii="Verdana" w:hAnsi="Verdana"/>
          <w:sz w:val="20"/>
          <w:szCs w:val="20"/>
        </w:rPr>
      </w:pPr>
      <w:r w:rsidRPr="543C6D08">
        <w:rPr>
          <w:rFonts w:ascii="Verdana" w:hAnsi="Verdana"/>
          <w:sz w:val="20"/>
          <w:szCs w:val="20"/>
        </w:rPr>
        <w:t>2.5.</w:t>
      </w:r>
      <w:r w:rsidR="0BAF9E4B" w:rsidRPr="543C6D08">
        <w:rPr>
          <w:rFonts w:ascii="Verdana" w:hAnsi="Verdana"/>
          <w:sz w:val="20"/>
          <w:szCs w:val="20"/>
        </w:rPr>
        <w:t>62</w:t>
      </w:r>
      <w:r w:rsidRPr="543C6D08">
        <w:rPr>
          <w:rFonts w:ascii="Verdana" w:hAnsi="Verdana"/>
          <w:sz w:val="20"/>
          <w:szCs w:val="20"/>
        </w:rPr>
        <w:t>.</w:t>
      </w:r>
    </w:p>
    <w:p w14:paraId="52B0E461" w14:textId="3DA21CF1" w:rsidR="009D1CDF" w:rsidRPr="00507671" w:rsidRDefault="009D1CDF" w:rsidP="009D1CDF">
      <w:pPr>
        <w:spacing w:after="0"/>
        <w:jc w:val="both"/>
        <w:rPr>
          <w:rFonts w:ascii="Verdana" w:hAnsi="Verdana"/>
          <w:sz w:val="20"/>
          <w:szCs w:val="20"/>
        </w:rPr>
      </w:pPr>
      <w:r w:rsidRPr="00507671">
        <w:rPr>
          <w:rFonts w:ascii="Verdana" w:hAnsi="Verdana"/>
          <w:sz w:val="20"/>
          <w:szCs w:val="20"/>
        </w:rPr>
        <w:t xml:space="preserve">Cuando la entidad de seguros de vida comercialice el seguro previsional de invalidez y </w:t>
      </w:r>
      <w:r w:rsidRPr="000B6D7E">
        <w:rPr>
          <w:rFonts w:ascii="Verdana" w:hAnsi="Verdana"/>
          <w:sz w:val="20"/>
          <w:szCs w:val="20"/>
        </w:rPr>
        <w:t xml:space="preserve">sobrevivencia o su equivalente en la respectiva jurisdicción, para el cálculo de las reservas de siniestros avisados deben aplicarse las instrucciones del artículo 2.31.4.4.2 del Decreto 2555 de 2010 y </w:t>
      </w:r>
      <w:r w:rsidRPr="00E97E8E">
        <w:rPr>
          <w:rFonts w:ascii="Verdana" w:hAnsi="Verdana"/>
          <w:sz w:val="20"/>
          <w:szCs w:val="20"/>
        </w:rPr>
        <w:t xml:space="preserve">el subnumeral 2.2.5.2 del </w:t>
      </w:r>
      <w:r w:rsidR="00E97E8E" w:rsidRPr="00E97E8E">
        <w:rPr>
          <w:rFonts w:ascii="Verdana" w:hAnsi="Verdana"/>
          <w:sz w:val="20"/>
          <w:szCs w:val="20"/>
        </w:rPr>
        <w:t>c</w:t>
      </w:r>
      <w:r w:rsidRPr="00E97E8E">
        <w:rPr>
          <w:rFonts w:ascii="Verdana" w:hAnsi="Verdana"/>
          <w:sz w:val="20"/>
          <w:szCs w:val="20"/>
        </w:rPr>
        <w:t>apítulo II</w:t>
      </w:r>
      <w:r w:rsidR="00E97E8E" w:rsidRPr="00E97E8E">
        <w:rPr>
          <w:rFonts w:ascii="Verdana" w:hAnsi="Verdana"/>
          <w:sz w:val="20"/>
          <w:szCs w:val="20"/>
        </w:rPr>
        <w:t xml:space="preserve"> del</w:t>
      </w:r>
      <w:r w:rsidRPr="00E97E8E">
        <w:rPr>
          <w:rFonts w:ascii="Verdana" w:hAnsi="Verdana"/>
          <w:sz w:val="20"/>
          <w:szCs w:val="20"/>
        </w:rPr>
        <w:t xml:space="preserve"> </w:t>
      </w:r>
      <w:r w:rsidR="00E97E8E" w:rsidRPr="00E97E8E">
        <w:rPr>
          <w:rFonts w:ascii="Verdana" w:hAnsi="Verdana"/>
          <w:sz w:val="20"/>
          <w:szCs w:val="20"/>
        </w:rPr>
        <w:t>t</w:t>
      </w:r>
      <w:r w:rsidRPr="00E97E8E">
        <w:rPr>
          <w:rFonts w:ascii="Verdana" w:hAnsi="Verdana"/>
          <w:sz w:val="20"/>
          <w:szCs w:val="20"/>
        </w:rPr>
        <w:t>ítulo IV</w:t>
      </w:r>
      <w:r w:rsidR="00E97E8E" w:rsidRPr="00E97E8E">
        <w:rPr>
          <w:rFonts w:ascii="Verdana" w:hAnsi="Verdana"/>
          <w:sz w:val="20"/>
          <w:szCs w:val="20"/>
        </w:rPr>
        <w:t xml:space="preserve"> de la</w:t>
      </w:r>
      <w:r w:rsidRPr="00E97E8E">
        <w:rPr>
          <w:rFonts w:ascii="Verdana" w:hAnsi="Verdana"/>
          <w:sz w:val="20"/>
          <w:szCs w:val="20"/>
        </w:rPr>
        <w:t xml:space="preserve"> </w:t>
      </w:r>
      <w:r w:rsidR="00E97E8E" w:rsidRPr="00E97E8E">
        <w:rPr>
          <w:rFonts w:ascii="Verdana" w:hAnsi="Verdana"/>
          <w:sz w:val="20"/>
          <w:szCs w:val="20"/>
        </w:rPr>
        <w:t>p</w:t>
      </w:r>
      <w:r w:rsidRPr="00E97E8E">
        <w:rPr>
          <w:rFonts w:ascii="Verdana" w:hAnsi="Verdana"/>
          <w:sz w:val="20"/>
          <w:szCs w:val="20"/>
        </w:rPr>
        <w:t xml:space="preserve">arte </w:t>
      </w:r>
      <w:r w:rsidRPr="00E97E8E">
        <w:rPr>
          <w:rFonts w:ascii="Verdana" w:hAnsi="Verdana"/>
          <w:sz w:val="20"/>
          <w:szCs w:val="20"/>
        </w:rPr>
        <w:lastRenderedPageBreak/>
        <w:t>2 de la CBJ.</w:t>
      </w:r>
      <w:r w:rsidRPr="000B6D7E">
        <w:rPr>
          <w:rFonts w:ascii="Verdana" w:hAnsi="Verdana"/>
          <w:sz w:val="20"/>
          <w:szCs w:val="20"/>
        </w:rPr>
        <w:t xml:space="preserve"> No obstante, en los casos en que no le resulten aplicables los parámetros señalados en esta normativa, por las particularidades propias del seguro, el holding</w:t>
      </w:r>
      <w:r w:rsidRPr="00507671">
        <w:rPr>
          <w:rFonts w:ascii="Verdana" w:hAnsi="Verdana"/>
          <w:sz w:val="20"/>
          <w:szCs w:val="20"/>
        </w:rPr>
        <w:t xml:space="preserve"> financiero podrá utilizar el monto de las reservas de siniestros avisados calculados de acuerdo con la normatividad del país objeto de cálculo.</w:t>
      </w:r>
    </w:p>
    <w:p w14:paraId="67362F48" w14:textId="77777777" w:rsidR="009D1CDF" w:rsidRPr="00507671" w:rsidRDefault="009D1CDF" w:rsidP="009D1CDF">
      <w:pPr>
        <w:spacing w:after="0"/>
        <w:jc w:val="both"/>
        <w:rPr>
          <w:rFonts w:ascii="Verdana" w:hAnsi="Verdana"/>
          <w:sz w:val="20"/>
          <w:szCs w:val="20"/>
        </w:rPr>
      </w:pPr>
    </w:p>
    <w:p w14:paraId="06EFD4DF" w14:textId="13C427CF" w:rsidR="00E30972" w:rsidRDefault="00E30972" w:rsidP="00E30972">
      <w:pPr>
        <w:spacing w:after="0"/>
        <w:jc w:val="both"/>
        <w:rPr>
          <w:rFonts w:ascii="Verdana" w:hAnsi="Verdana"/>
          <w:sz w:val="20"/>
          <w:szCs w:val="20"/>
        </w:rPr>
      </w:pPr>
      <w:r w:rsidRPr="543C6D08">
        <w:rPr>
          <w:rFonts w:ascii="Verdana" w:hAnsi="Verdana"/>
          <w:sz w:val="20"/>
          <w:szCs w:val="20"/>
        </w:rPr>
        <w:t>2.5.</w:t>
      </w:r>
      <w:r w:rsidR="007D56F1" w:rsidRPr="543C6D08">
        <w:rPr>
          <w:rFonts w:ascii="Verdana" w:hAnsi="Verdana"/>
          <w:sz w:val="20"/>
          <w:szCs w:val="20"/>
        </w:rPr>
        <w:t>6</w:t>
      </w:r>
      <w:r w:rsidR="10287E74" w:rsidRPr="543C6D08">
        <w:rPr>
          <w:rFonts w:ascii="Verdana" w:hAnsi="Verdana"/>
          <w:sz w:val="20"/>
          <w:szCs w:val="20"/>
        </w:rPr>
        <w:t>3</w:t>
      </w:r>
      <w:r w:rsidRPr="543C6D08">
        <w:rPr>
          <w:rFonts w:ascii="Verdana" w:hAnsi="Verdana"/>
          <w:sz w:val="20"/>
          <w:szCs w:val="20"/>
        </w:rPr>
        <w:t>.</w:t>
      </w:r>
    </w:p>
    <w:p w14:paraId="24C0D964"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Dichas metodologías deben permanecer a disposición de la SFC, junto con la justificación técnica y actuarial que sustenta la falta de aplicabilidad de los lineamientos de la normatividad colombiana.</w:t>
      </w:r>
    </w:p>
    <w:p w14:paraId="15608AF3" w14:textId="77777777" w:rsidR="009D1CDF" w:rsidRPr="00507671" w:rsidRDefault="009D1CDF" w:rsidP="009D1CDF">
      <w:pPr>
        <w:spacing w:after="0"/>
        <w:jc w:val="both"/>
        <w:rPr>
          <w:rFonts w:ascii="Verdana" w:hAnsi="Verdana"/>
          <w:sz w:val="20"/>
          <w:szCs w:val="20"/>
        </w:rPr>
      </w:pPr>
    </w:p>
    <w:p w14:paraId="33BF59E7" w14:textId="49F29D9C" w:rsidR="009D1CDF" w:rsidRPr="00020EE1" w:rsidRDefault="009D1CDF" w:rsidP="00020EE1">
      <w:pPr>
        <w:pStyle w:val="Prrafodelista"/>
        <w:numPr>
          <w:ilvl w:val="0"/>
          <w:numId w:val="30"/>
        </w:numPr>
        <w:spacing w:after="0"/>
        <w:ind w:left="1134" w:hanging="283"/>
        <w:jc w:val="both"/>
        <w:rPr>
          <w:rFonts w:ascii="Verdana" w:hAnsi="Verdana"/>
          <w:b/>
          <w:bCs/>
          <w:sz w:val="20"/>
          <w:szCs w:val="20"/>
        </w:rPr>
      </w:pPr>
      <w:r w:rsidRPr="00020EE1">
        <w:rPr>
          <w:rFonts w:ascii="Verdana" w:hAnsi="Verdana"/>
          <w:b/>
          <w:bCs/>
          <w:sz w:val="20"/>
          <w:szCs w:val="20"/>
        </w:rPr>
        <w:t>Operaciones en el ramo o seguro de riesgos laborales</w:t>
      </w:r>
    </w:p>
    <w:p w14:paraId="4EE8D3A6" w14:textId="77777777" w:rsidR="009D1CDF" w:rsidRPr="00507671" w:rsidRDefault="009D1CDF" w:rsidP="009D1CDF">
      <w:pPr>
        <w:spacing w:after="0"/>
        <w:jc w:val="both"/>
        <w:rPr>
          <w:rFonts w:ascii="Verdana" w:hAnsi="Verdana"/>
          <w:sz w:val="20"/>
          <w:szCs w:val="20"/>
        </w:rPr>
      </w:pPr>
    </w:p>
    <w:p w14:paraId="57B12EBB" w14:textId="58A5E359" w:rsidR="00020EE1" w:rsidRDefault="00020EE1" w:rsidP="00020EE1">
      <w:pPr>
        <w:spacing w:after="0"/>
        <w:jc w:val="both"/>
        <w:rPr>
          <w:rFonts w:ascii="Verdana" w:hAnsi="Verdana"/>
          <w:sz w:val="20"/>
          <w:szCs w:val="20"/>
        </w:rPr>
      </w:pPr>
      <w:r w:rsidRPr="543C6D08">
        <w:rPr>
          <w:rFonts w:ascii="Verdana" w:hAnsi="Verdana"/>
          <w:sz w:val="20"/>
          <w:szCs w:val="20"/>
        </w:rPr>
        <w:t>2.5.</w:t>
      </w:r>
      <w:r w:rsidR="37E17A31" w:rsidRPr="543C6D08">
        <w:rPr>
          <w:rFonts w:ascii="Verdana" w:hAnsi="Verdana"/>
          <w:sz w:val="20"/>
          <w:szCs w:val="20"/>
        </w:rPr>
        <w:t>64</w:t>
      </w:r>
      <w:r w:rsidRPr="543C6D08">
        <w:rPr>
          <w:rFonts w:ascii="Verdana" w:hAnsi="Verdana"/>
          <w:sz w:val="20"/>
          <w:szCs w:val="20"/>
        </w:rPr>
        <w:t>.</w:t>
      </w:r>
    </w:p>
    <w:p w14:paraId="550C7440" w14:textId="26A6DC7A" w:rsidR="009D1CDF" w:rsidRPr="00020EE1" w:rsidRDefault="009D1CDF" w:rsidP="00020EE1">
      <w:pPr>
        <w:spacing w:after="0"/>
        <w:jc w:val="both"/>
        <w:rPr>
          <w:rFonts w:ascii="Verdana" w:hAnsi="Verdana"/>
          <w:sz w:val="20"/>
          <w:szCs w:val="20"/>
        </w:rPr>
      </w:pPr>
      <w:r w:rsidRPr="17FBBDE5">
        <w:rPr>
          <w:rFonts w:ascii="Verdana" w:hAnsi="Verdana"/>
          <w:sz w:val="20"/>
          <w:szCs w:val="20"/>
        </w:rPr>
        <w:t>En el cálculo del importe correspondiente a las coberturas o amparos en los cuales las primas no se deban destinar a la constitución de la reserva matemática, para la aplicación por primera vez, el límite de UVR se determinará tal como se establece en</w:t>
      </w:r>
      <w:r w:rsidR="00450AC9">
        <w:rPr>
          <w:rFonts w:ascii="Verdana" w:hAnsi="Verdana"/>
          <w:sz w:val="20"/>
          <w:szCs w:val="20"/>
        </w:rPr>
        <w:t>tre los párrafos</w:t>
      </w:r>
      <w:r w:rsidR="00ED6EAE">
        <w:rPr>
          <w:rFonts w:ascii="Verdana" w:hAnsi="Verdana"/>
          <w:sz w:val="20"/>
          <w:szCs w:val="20"/>
        </w:rPr>
        <w:t xml:space="preserve"> 2.5.</w:t>
      </w:r>
      <w:r w:rsidR="00C57C63">
        <w:rPr>
          <w:rFonts w:ascii="Verdana" w:hAnsi="Verdana"/>
          <w:sz w:val="20"/>
          <w:szCs w:val="20"/>
        </w:rPr>
        <w:t>39. y</w:t>
      </w:r>
      <w:r w:rsidDel="009D1CDF">
        <w:rPr>
          <w:rFonts w:ascii="Verdana" w:hAnsi="Verdana"/>
          <w:sz w:val="20"/>
          <w:szCs w:val="20"/>
        </w:rPr>
        <w:t xml:space="preserve"> 2.5.</w:t>
      </w:r>
      <w:r w:rsidR="00C57C63">
        <w:rPr>
          <w:rFonts w:ascii="Verdana" w:hAnsi="Verdana"/>
          <w:sz w:val="20"/>
          <w:szCs w:val="20"/>
        </w:rPr>
        <w:t>56.</w:t>
      </w:r>
    </w:p>
    <w:p w14:paraId="40ED12FA" w14:textId="77777777" w:rsidR="00020EE1" w:rsidRDefault="00020EE1" w:rsidP="00020EE1">
      <w:pPr>
        <w:spacing w:after="0"/>
        <w:jc w:val="both"/>
        <w:rPr>
          <w:rFonts w:ascii="Verdana" w:hAnsi="Verdana"/>
          <w:sz w:val="20"/>
          <w:szCs w:val="20"/>
        </w:rPr>
      </w:pPr>
    </w:p>
    <w:p w14:paraId="2212E7AE" w14:textId="760C3C1E" w:rsidR="00E30972" w:rsidRDefault="00E30972" w:rsidP="00020EE1">
      <w:pPr>
        <w:spacing w:after="0"/>
        <w:jc w:val="both"/>
        <w:rPr>
          <w:rFonts w:ascii="Verdana" w:hAnsi="Verdana"/>
          <w:sz w:val="20"/>
          <w:szCs w:val="20"/>
        </w:rPr>
      </w:pPr>
      <w:r w:rsidRPr="543C6D08">
        <w:rPr>
          <w:rFonts w:ascii="Verdana" w:hAnsi="Verdana"/>
          <w:sz w:val="20"/>
          <w:szCs w:val="20"/>
        </w:rPr>
        <w:t>2.5.</w:t>
      </w:r>
      <w:r w:rsidR="6CFCCB6C" w:rsidRPr="543C6D08">
        <w:rPr>
          <w:rFonts w:ascii="Verdana" w:hAnsi="Verdana"/>
          <w:sz w:val="20"/>
          <w:szCs w:val="20"/>
        </w:rPr>
        <w:t>65</w:t>
      </w:r>
      <w:r w:rsidRPr="543C6D08">
        <w:rPr>
          <w:rFonts w:ascii="Verdana" w:hAnsi="Verdana"/>
          <w:sz w:val="20"/>
          <w:szCs w:val="20"/>
        </w:rPr>
        <w:t>.</w:t>
      </w:r>
    </w:p>
    <w:p w14:paraId="4C039E0B" w14:textId="77777777" w:rsidR="009D1CDF" w:rsidRPr="00507671" w:rsidRDefault="009D1CDF" w:rsidP="00020EE1">
      <w:pPr>
        <w:spacing w:after="0"/>
        <w:jc w:val="both"/>
        <w:rPr>
          <w:rFonts w:ascii="Verdana" w:hAnsi="Verdana"/>
          <w:sz w:val="20"/>
          <w:szCs w:val="20"/>
        </w:rPr>
      </w:pPr>
      <w:r w:rsidRPr="00507671">
        <w:rPr>
          <w:rFonts w:ascii="Verdana" w:hAnsi="Verdana"/>
          <w:sz w:val="20"/>
          <w:szCs w:val="20"/>
        </w:rPr>
        <w:t>Para determinar el valor de la mediana, se tomará la información de las entidades de seguros de vida que acrediten primas y siniestros para seguros de riesgos laborales o similares.</w:t>
      </w:r>
    </w:p>
    <w:p w14:paraId="41D2ED07" w14:textId="77777777" w:rsidR="009D1CDF" w:rsidRPr="00507671" w:rsidRDefault="009D1CDF" w:rsidP="00257F4E">
      <w:pPr>
        <w:spacing w:after="0"/>
        <w:ind w:left="1701"/>
        <w:jc w:val="both"/>
        <w:rPr>
          <w:rFonts w:ascii="Verdana" w:hAnsi="Verdana"/>
          <w:sz w:val="20"/>
          <w:szCs w:val="20"/>
        </w:rPr>
      </w:pPr>
    </w:p>
    <w:p w14:paraId="73B14F98" w14:textId="1E6C1BB5" w:rsidR="00E30972" w:rsidRDefault="00E30972" w:rsidP="00020EE1">
      <w:pPr>
        <w:spacing w:after="0"/>
        <w:jc w:val="both"/>
        <w:rPr>
          <w:rFonts w:ascii="Verdana" w:hAnsi="Verdana"/>
          <w:sz w:val="20"/>
          <w:szCs w:val="20"/>
        </w:rPr>
      </w:pPr>
      <w:r w:rsidRPr="543C6D08">
        <w:rPr>
          <w:rFonts w:ascii="Verdana" w:hAnsi="Verdana"/>
          <w:sz w:val="20"/>
          <w:szCs w:val="20"/>
        </w:rPr>
        <w:t>2.5.</w:t>
      </w:r>
      <w:r w:rsidR="21AACE32" w:rsidRPr="543C6D08">
        <w:rPr>
          <w:rFonts w:ascii="Verdana" w:hAnsi="Verdana"/>
          <w:sz w:val="20"/>
          <w:szCs w:val="20"/>
        </w:rPr>
        <w:t>66</w:t>
      </w:r>
      <w:r w:rsidRPr="543C6D08">
        <w:rPr>
          <w:rFonts w:ascii="Verdana" w:hAnsi="Verdana"/>
          <w:sz w:val="20"/>
          <w:szCs w:val="20"/>
        </w:rPr>
        <w:t>.</w:t>
      </w:r>
    </w:p>
    <w:p w14:paraId="53DC07FF" w14:textId="7171AD5D" w:rsidR="009D1CDF" w:rsidRPr="00507671" w:rsidRDefault="009D1CDF" w:rsidP="00020EE1">
      <w:pPr>
        <w:spacing w:after="0"/>
        <w:jc w:val="both"/>
        <w:rPr>
          <w:rFonts w:ascii="Verdana" w:hAnsi="Verdana"/>
          <w:sz w:val="20"/>
          <w:szCs w:val="20"/>
        </w:rPr>
      </w:pPr>
      <w:r w:rsidRPr="00507671">
        <w:rPr>
          <w:rFonts w:ascii="Verdana" w:hAnsi="Verdana"/>
          <w:sz w:val="20"/>
          <w:szCs w:val="20"/>
        </w:rPr>
        <w:t xml:space="preserve">En la cuantificación de los siniestros de que trata el numeral i, literal b del artículo 2.31.1.2.8 del Decreto 2555 de 2010, la entidad debe emplear la reserva de siniestros avisados calculada de acuerdo con las instrucciones impartidas en el artículo 2.31.4.4.4 </w:t>
      </w:r>
      <w:r w:rsidRPr="00E30972">
        <w:rPr>
          <w:rFonts w:ascii="Verdana" w:hAnsi="Verdana"/>
          <w:sz w:val="20"/>
          <w:szCs w:val="20"/>
        </w:rPr>
        <w:t xml:space="preserve">del Decreto 2555 de 2010 y </w:t>
      </w:r>
      <w:r w:rsidRPr="00C57C63">
        <w:rPr>
          <w:rFonts w:ascii="Verdana" w:hAnsi="Verdana"/>
          <w:sz w:val="20"/>
          <w:szCs w:val="20"/>
        </w:rPr>
        <w:t xml:space="preserve">el subnumeral 2.2.5.1 del </w:t>
      </w:r>
      <w:r w:rsidR="00C57C63" w:rsidRPr="00C57C63">
        <w:rPr>
          <w:rFonts w:ascii="Verdana" w:hAnsi="Verdana"/>
          <w:sz w:val="20"/>
          <w:szCs w:val="20"/>
        </w:rPr>
        <w:t>c</w:t>
      </w:r>
      <w:r w:rsidRPr="00C57C63">
        <w:rPr>
          <w:rFonts w:ascii="Verdana" w:hAnsi="Verdana"/>
          <w:sz w:val="20"/>
          <w:szCs w:val="20"/>
        </w:rPr>
        <w:t>apítulo II</w:t>
      </w:r>
      <w:r w:rsidR="00C57C63" w:rsidRPr="00C57C63">
        <w:rPr>
          <w:rFonts w:ascii="Verdana" w:hAnsi="Verdana"/>
          <w:sz w:val="20"/>
          <w:szCs w:val="20"/>
        </w:rPr>
        <w:t xml:space="preserve"> del</w:t>
      </w:r>
      <w:r w:rsidRPr="00C57C63">
        <w:rPr>
          <w:rFonts w:ascii="Verdana" w:hAnsi="Verdana"/>
          <w:sz w:val="20"/>
          <w:szCs w:val="20"/>
        </w:rPr>
        <w:t xml:space="preserve"> </w:t>
      </w:r>
      <w:r w:rsidR="00C57C63" w:rsidRPr="00C57C63">
        <w:rPr>
          <w:rFonts w:ascii="Verdana" w:hAnsi="Verdana"/>
          <w:sz w:val="20"/>
          <w:szCs w:val="20"/>
        </w:rPr>
        <w:t>t</w:t>
      </w:r>
      <w:r w:rsidRPr="00C57C63">
        <w:rPr>
          <w:rFonts w:ascii="Verdana" w:hAnsi="Verdana"/>
          <w:sz w:val="20"/>
          <w:szCs w:val="20"/>
        </w:rPr>
        <w:t>ítulo IV de la</w:t>
      </w:r>
      <w:r w:rsidRPr="00C57C63">
        <w:rPr>
          <w:rFonts w:ascii="Verdana" w:hAnsi="Verdana"/>
          <w:b/>
          <w:sz w:val="20"/>
          <w:szCs w:val="20"/>
        </w:rPr>
        <w:t xml:space="preserve"> </w:t>
      </w:r>
      <w:r w:rsidR="00C57C63" w:rsidRPr="00C57C63">
        <w:rPr>
          <w:rFonts w:ascii="Verdana" w:hAnsi="Verdana"/>
          <w:bCs/>
          <w:sz w:val="20"/>
          <w:szCs w:val="20"/>
        </w:rPr>
        <w:t>p</w:t>
      </w:r>
      <w:r w:rsidRPr="00C57C63">
        <w:rPr>
          <w:rFonts w:ascii="Verdana" w:hAnsi="Verdana"/>
          <w:bCs/>
          <w:sz w:val="20"/>
          <w:szCs w:val="20"/>
        </w:rPr>
        <w:t>arte</w:t>
      </w:r>
      <w:r w:rsidRPr="00C57C63">
        <w:rPr>
          <w:rFonts w:ascii="Verdana" w:hAnsi="Verdana"/>
          <w:sz w:val="20"/>
          <w:szCs w:val="20"/>
        </w:rPr>
        <w:t xml:space="preserve"> 2 de la CBJ</w:t>
      </w:r>
      <w:r w:rsidRPr="00E30972">
        <w:rPr>
          <w:rFonts w:ascii="Verdana" w:hAnsi="Verdana"/>
          <w:bCs/>
          <w:sz w:val="20"/>
          <w:szCs w:val="20"/>
        </w:rPr>
        <w:t>. No obstante, en los casos en que no le re</w:t>
      </w:r>
      <w:r w:rsidRPr="00507671">
        <w:rPr>
          <w:rFonts w:ascii="Verdana" w:hAnsi="Verdana"/>
          <w:sz w:val="20"/>
          <w:szCs w:val="20"/>
        </w:rPr>
        <w:t>sulten aplicables los parámetros señalados en esta normativa, por las particularidades propias del seguro, el holding financiero podrá utilizar el monto de las reservas de siniestros avisados calculados de acuerdo con la normatividad del país objeto de cálculo.</w:t>
      </w:r>
    </w:p>
    <w:p w14:paraId="3B2BB567" w14:textId="77777777" w:rsidR="009D1CDF" w:rsidRPr="00507671" w:rsidRDefault="009D1CDF" w:rsidP="00257F4E">
      <w:pPr>
        <w:spacing w:after="0"/>
        <w:ind w:left="1701"/>
        <w:jc w:val="both"/>
        <w:rPr>
          <w:rFonts w:ascii="Verdana" w:hAnsi="Verdana"/>
          <w:sz w:val="20"/>
          <w:szCs w:val="20"/>
        </w:rPr>
      </w:pPr>
    </w:p>
    <w:p w14:paraId="0929036A" w14:textId="2B347ADB" w:rsidR="00E30972" w:rsidRDefault="00E30972" w:rsidP="00020EE1">
      <w:pPr>
        <w:spacing w:after="0"/>
        <w:jc w:val="both"/>
        <w:rPr>
          <w:rFonts w:ascii="Verdana" w:hAnsi="Verdana"/>
          <w:sz w:val="20"/>
          <w:szCs w:val="20"/>
        </w:rPr>
      </w:pPr>
      <w:r w:rsidRPr="543C6D08">
        <w:rPr>
          <w:rFonts w:ascii="Verdana" w:hAnsi="Verdana"/>
          <w:sz w:val="20"/>
          <w:szCs w:val="20"/>
        </w:rPr>
        <w:t>2.5.</w:t>
      </w:r>
      <w:r w:rsidR="2048FE67" w:rsidRPr="543C6D08">
        <w:rPr>
          <w:rFonts w:ascii="Verdana" w:hAnsi="Verdana"/>
          <w:sz w:val="20"/>
          <w:szCs w:val="20"/>
        </w:rPr>
        <w:t>67</w:t>
      </w:r>
      <w:r w:rsidRPr="543C6D08">
        <w:rPr>
          <w:rFonts w:ascii="Verdana" w:hAnsi="Verdana"/>
          <w:sz w:val="20"/>
          <w:szCs w:val="20"/>
        </w:rPr>
        <w:t>.</w:t>
      </w:r>
    </w:p>
    <w:p w14:paraId="16DAFC40" w14:textId="77777777" w:rsidR="009D1CDF" w:rsidRPr="00507671" w:rsidRDefault="009D1CDF" w:rsidP="00020EE1">
      <w:pPr>
        <w:spacing w:after="0"/>
        <w:jc w:val="both"/>
        <w:rPr>
          <w:rFonts w:ascii="Verdana" w:hAnsi="Verdana"/>
          <w:sz w:val="20"/>
          <w:szCs w:val="20"/>
        </w:rPr>
      </w:pPr>
      <w:r w:rsidRPr="00507671">
        <w:rPr>
          <w:rFonts w:ascii="Verdana" w:hAnsi="Verdana"/>
          <w:sz w:val="20"/>
          <w:szCs w:val="20"/>
        </w:rPr>
        <w:t>Dichas metodologías deben permanecer a disposición de la SFC, junto con la justificación técnica y actuarial que sustenta la falta de aplicabilidad de los lineamientos de la normatividad colombiana.</w:t>
      </w:r>
    </w:p>
    <w:p w14:paraId="6A0BCFD5" w14:textId="77777777" w:rsidR="009D1CDF" w:rsidRPr="00507671" w:rsidRDefault="009D1CDF" w:rsidP="009D1CDF">
      <w:pPr>
        <w:spacing w:after="0"/>
        <w:jc w:val="both"/>
        <w:rPr>
          <w:rFonts w:ascii="Verdana" w:hAnsi="Verdana"/>
          <w:sz w:val="20"/>
          <w:szCs w:val="20"/>
        </w:rPr>
      </w:pPr>
    </w:p>
    <w:p w14:paraId="2DEA7015" w14:textId="744611F9" w:rsidR="00005F97" w:rsidRDefault="00005F97" w:rsidP="00005F97">
      <w:pPr>
        <w:spacing w:after="0"/>
        <w:jc w:val="both"/>
        <w:rPr>
          <w:rFonts w:ascii="Verdana" w:hAnsi="Verdana"/>
          <w:sz w:val="20"/>
          <w:szCs w:val="20"/>
        </w:rPr>
      </w:pPr>
      <w:r w:rsidRPr="543C6D08">
        <w:rPr>
          <w:rFonts w:ascii="Verdana" w:hAnsi="Verdana"/>
          <w:sz w:val="20"/>
          <w:szCs w:val="20"/>
        </w:rPr>
        <w:t>2.5.6</w:t>
      </w:r>
      <w:r w:rsidR="7FB6C897" w:rsidRPr="543C6D08">
        <w:rPr>
          <w:rFonts w:ascii="Verdana" w:hAnsi="Verdana"/>
          <w:sz w:val="20"/>
          <w:szCs w:val="20"/>
        </w:rPr>
        <w:t>8</w:t>
      </w:r>
      <w:r w:rsidRPr="543C6D08">
        <w:rPr>
          <w:rFonts w:ascii="Verdana" w:hAnsi="Verdana"/>
          <w:sz w:val="20"/>
          <w:szCs w:val="20"/>
        </w:rPr>
        <w:t>.</w:t>
      </w:r>
    </w:p>
    <w:p w14:paraId="6230FB23" w14:textId="7E846DA7" w:rsidR="009D1CDF" w:rsidRPr="00020EE1" w:rsidRDefault="009D1CDF" w:rsidP="00005F97">
      <w:pPr>
        <w:spacing w:after="0"/>
        <w:jc w:val="both"/>
        <w:rPr>
          <w:rFonts w:ascii="Verdana" w:hAnsi="Verdana"/>
          <w:sz w:val="20"/>
          <w:szCs w:val="20"/>
        </w:rPr>
      </w:pPr>
      <w:r w:rsidRPr="00020EE1">
        <w:rPr>
          <w:rFonts w:ascii="Verdana" w:hAnsi="Verdana"/>
          <w:sz w:val="20"/>
          <w:szCs w:val="20"/>
        </w:rPr>
        <w:t xml:space="preserve">En el cálculo del importe correspondiente a las operaciones en el ramo de riesgos laborales o productos similares, el riesgo de suscripción en función de la reserva matemática se determinará del mismo modo que se establece en </w:t>
      </w:r>
      <w:r w:rsidR="00265737">
        <w:rPr>
          <w:rFonts w:ascii="Verdana" w:hAnsi="Verdana"/>
          <w:sz w:val="20"/>
          <w:szCs w:val="20"/>
        </w:rPr>
        <w:t>los párrafos</w:t>
      </w:r>
      <w:r w:rsidDel="00767CB6">
        <w:rPr>
          <w:rFonts w:ascii="Verdana" w:hAnsi="Verdana"/>
          <w:sz w:val="20"/>
          <w:szCs w:val="20"/>
        </w:rPr>
        <w:t xml:space="preserve"> 2.5.</w:t>
      </w:r>
      <w:r w:rsidR="00265737">
        <w:rPr>
          <w:rFonts w:ascii="Verdana" w:hAnsi="Verdana"/>
          <w:sz w:val="20"/>
          <w:szCs w:val="20"/>
        </w:rPr>
        <w:t>57. y</w:t>
      </w:r>
      <w:r w:rsidR="00017397">
        <w:rPr>
          <w:rFonts w:ascii="Verdana" w:hAnsi="Verdana"/>
          <w:sz w:val="20"/>
          <w:szCs w:val="20"/>
        </w:rPr>
        <w:t xml:space="preserve"> 2.5.</w:t>
      </w:r>
      <w:r w:rsidR="00265737">
        <w:rPr>
          <w:rFonts w:ascii="Verdana" w:hAnsi="Verdana"/>
          <w:sz w:val="20"/>
          <w:szCs w:val="20"/>
        </w:rPr>
        <w:t>58</w:t>
      </w:r>
      <w:r w:rsidR="00017397">
        <w:rPr>
          <w:rFonts w:ascii="Verdana" w:hAnsi="Verdana"/>
          <w:sz w:val="20"/>
          <w:szCs w:val="20"/>
        </w:rPr>
        <w:t>.</w:t>
      </w:r>
      <w:r w:rsidRPr="00020EE1">
        <w:rPr>
          <w:rFonts w:ascii="Verdana" w:hAnsi="Verdana"/>
          <w:sz w:val="20"/>
          <w:szCs w:val="20"/>
        </w:rPr>
        <w:t xml:space="preserve"> del presente capítulo. No obstante, en los casos en que no le resulten aplicables los parámetros señalados en esta normativa, por las particularidades propias del seguro, el holding financiero podrá utilizar el monto de la reserva matemática calculado de acuerdo con la normatividad del país objeto de cálculo.</w:t>
      </w:r>
    </w:p>
    <w:p w14:paraId="0C1F68FA" w14:textId="77777777" w:rsidR="009D1CDF" w:rsidRPr="00507671" w:rsidRDefault="009D1CDF" w:rsidP="009D1CDF">
      <w:pPr>
        <w:spacing w:after="0"/>
        <w:jc w:val="both"/>
        <w:rPr>
          <w:rFonts w:ascii="Verdana" w:hAnsi="Verdana"/>
          <w:sz w:val="20"/>
          <w:szCs w:val="20"/>
        </w:rPr>
      </w:pPr>
    </w:p>
    <w:p w14:paraId="0142FB0C" w14:textId="0C4F6DDD" w:rsidR="00E30972" w:rsidRDefault="00E30972" w:rsidP="00E30972">
      <w:pPr>
        <w:spacing w:after="0"/>
        <w:jc w:val="both"/>
        <w:rPr>
          <w:rFonts w:ascii="Verdana" w:hAnsi="Verdana"/>
          <w:sz w:val="20"/>
          <w:szCs w:val="20"/>
        </w:rPr>
      </w:pPr>
      <w:r w:rsidRPr="543C6D08">
        <w:rPr>
          <w:rFonts w:ascii="Verdana" w:hAnsi="Verdana"/>
          <w:sz w:val="20"/>
          <w:szCs w:val="20"/>
        </w:rPr>
        <w:t>2.5.</w:t>
      </w:r>
      <w:r w:rsidR="00507CDE" w:rsidRPr="543C6D08">
        <w:rPr>
          <w:rFonts w:ascii="Verdana" w:hAnsi="Verdana"/>
          <w:sz w:val="20"/>
          <w:szCs w:val="20"/>
        </w:rPr>
        <w:t>6</w:t>
      </w:r>
      <w:r w:rsidR="5547B087" w:rsidRPr="543C6D08">
        <w:rPr>
          <w:rFonts w:ascii="Verdana" w:hAnsi="Verdana"/>
          <w:sz w:val="20"/>
          <w:szCs w:val="20"/>
        </w:rPr>
        <w:t>9</w:t>
      </w:r>
      <w:r w:rsidRPr="543C6D08">
        <w:rPr>
          <w:rFonts w:ascii="Verdana" w:hAnsi="Verdana"/>
          <w:sz w:val="20"/>
          <w:szCs w:val="20"/>
        </w:rPr>
        <w:t>.</w:t>
      </w:r>
    </w:p>
    <w:p w14:paraId="360D82B0" w14:textId="1A2AC1E3" w:rsidR="008B445E" w:rsidRDefault="009D1CDF" w:rsidP="008B445E">
      <w:pPr>
        <w:spacing w:after="0"/>
        <w:jc w:val="both"/>
        <w:rPr>
          <w:rFonts w:ascii="Verdana" w:hAnsi="Verdana"/>
          <w:sz w:val="20"/>
          <w:szCs w:val="20"/>
        </w:rPr>
      </w:pPr>
      <w:r w:rsidRPr="00507671">
        <w:rPr>
          <w:rFonts w:ascii="Verdana" w:hAnsi="Verdana"/>
          <w:sz w:val="20"/>
          <w:szCs w:val="20"/>
        </w:rPr>
        <w:t>Dichas metodologías deben permanecer a disposición de la SFC, junto con la justificación técnica y actuarial que sustenta la falta de aplicabilidad de los lineamientos de la normatividad colombiana.</w:t>
      </w:r>
      <w:r w:rsidR="008B445E">
        <w:rPr>
          <w:rFonts w:ascii="Verdana" w:hAnsi="Verdana"/>
          <w:sz w:val="20"/>
          <w:szCs w:val="20"/>
        </w:rPr>
        <w:t xml:space="preserve"> </w:t>
      </w:r>
    </w:p>
    <w:p w14:paraId="347B5AB3" w14:textId="77777777" w:rsidR="008B445E" w:rsidRDefault="008B445E" w:rsidP="008B445E">
      <w:pPr>
        <w:spacing w:after="0"/>
        <w:jc w:val="both"/>
        <w:rPr>
          <w:rFonts w:ascii="Verdana" w:hAnsi="Verdana"/>
          <w:b/>
          <w:sz w:val="20"/>
          <w:szCs w:val="20"/>
        </w:rPr>
      </w:pPr>
    </w:p>
    <w:p w14:paraId="63AE4BCE" w14:textId="34246ACD" w:rsidR="009D1CDF" w:rsidRPr="00020EE1" w:rsidRDefault="009D1CDF" w:rsidP="00020EE1">
      <w:pPr>
        <w:pStyle w:val="Prrafodelista"/>
        <w:numPr>
          <w:ilvl w:val="0"/>
          <w:numId w:val="30"/>
        </w:numPr>
        <w:spacing w:after="0"/>
        <w:ind w:left="851" w:hanging="284"/>
        <w:jc w:val="both"/>
        <w:rPr>
          <w:rFonts w:ascii="Verdana" w:hAnsi="Verdana"/>
          <w:b/>
          <w:sz w:val="20"/>
          <w:szCs w:val="20"/>
        </w:rPr>
      </w:pPr>
      <w:r w:rsidRPr="00020EE1">
        <w:rPr>
          <w:rFonts w:ascii="Verdana" w:hAnsi="Verdana"/>
          <w:b/>
          <w:sz w:val="20"/>
          <w:szCs w:val="20"/>
        </w:rPr>
        <w:t>Entidades de seguros habilitadas bajo una única licencia (generales y vida)</w:t>
      </w:r>
    </w:p>
    <w:p w14:paraId="309F1233" w14:textId="77777777" w:rsidR="009D1CDF" w:rsidRPr="00507671" w:rsidRDefault="009D1CDF" w:rsidP="009D1CDF">
      <w:pPr>
        <w:spacing w:after="0"/>
        <w:jc w:val="both"/>
        <w:rPr>
          <w:rFonts w:ascii="Verdana" w:hAnsi="Verdana"/>
          <w:sz w:val="20"/>
          <w:szCs w:val="20"/>
        </w:rPr>
      </w:pPr>
    </w:p>
    <w:p w14:paraId="2A5558EA" w14:textId="2B66242C" w:rsidR="00E30972" w:rsidRDefault="00E30972" w:rsidP="00E30972">
      <w:pPr>
        <w:spacing w:after="0"/>
        <w:jc w:val="both"/>
        <w:rPr>
          <w:rFonts w:ascii="Verdana" w:hAnsi="Verdana"/>
          <w:sz w:val="20"/>
          <w:szCs w:val="20"/>
        </w:rPr>
      </w:pPr>
      <w:r w:rsidRPr="543C6D08">
        <w:rPr>
          <w:rFonts w:ascii="Verdana" w:hAnsi="Verdana"/>
          <w:sz w:val="20"/>
          <w:szCs w:val="20"/>
        </w:rPr>
        <w:t>2.5.</w:t>
      </w:r>
      <w:r w:rsidR="527289DD" w:rsidRPr="543C6D08">
        <w:rPr>
          <w:rFonts w:ascii="Verdana" w:hAnsi="Verdana"/>
          <w:sz w:val="20"/>
          <w:szCs w:val="20"/>
        </w:rPr>
        <w:t>70</w:t>
      </w:r>
      <w:r w:rsidRPr="543C6D08">
        <w:rPr>
          <w:rFonts w:ascii="Verdana" w:hAnsi="Verdana"/>
          <w:sz w:val="20"/>
          <w:szCs w:val="20"/>
        </w:rPr>
        <w:t>.</w:t>
      </w:r>
    </w:p>
    <w:p w14:paraId="618A0BBD" w14:textId="74D51A2F" w:rsidR="009D1CDF" w:rsidRPr="00507671" w:rsidRDefault="009D1CDF" w:rsidP="009D1CDF">
      <w:pPr>
        <w:spacing w:after="0"/>
        <w:jc w:val="both"/>
        <w:rPr>
          <w:rFonts w:ascii="Verdana" w:hAnsi="Verdana"/>
          <w:sz w:val="20"/>
          <w:szCs w:val="20"/>
        </w:rPr>
      </w:pPr>
      <w:r w:rsidRPr="00507671">
        <w:rPr>
          <w:rFonts w:ascii="Verdana" w:hAnsi="Verdana"/>
          <w:sz w:val="20"/>
          <w:szCs w:val="20"/>
        </w:rPr>
        <w:t>Para las entidades aseguradoras del exterior que, por autorización expresa del regulador o supervisor del país de domicilio, les esté permitido efectuar operaciones de seguros de vida y seguros generales bajo una única licencia, les serán aplicables las instrucciones previstas en</w:t>
      </w:r>
      <w:r w:rsidR="00B166BC">
        <w:rPr>
          <w:rFonts w:ascii="Verdana" w:hAnsi="Verdana"/>
          <w:sz w:val="20"/>
          <w:szCs w:val="20"/>
        </w:rPr>
        <w:t xml:space="preserve"> </w:t>
      </w:r>
      <w:r w:rsidR="00B47917">
        <w:rPr>
          <w:rFonts w:ascii="Verdana" w:hAnsi="Verdana"/>
          <w:sz w:val="20"/>
          <w:szCs w:val="20"/>
        </w:rPr>
        <w:t>los párrafos</w:t>
      </w:r>
      <w:r w:rsidR="00D662B8">
        <w:rPr>
          <w:rFonts w:ascii="Verdana" w:hAnsi="Verdana"/>
          <w:sz w:val="20"/>
          <w:szCs w:val="20"/>
        </w:rPr>
        <w:t xml:space="preserve"> 2.5.</w:t>
      </w:r>
      <w:r w:rsidR="00B47917">
        <w:rPr>
          <w:rFonts w:ascii="Verdana" w:hAnsi="Verdana"/>
          <w:sz w:val="20"/>
          <w:szCs w:val="20"/>
        </w:rPr>
        <w:t xml:space="preserve">57. </w:t>
      </w:r>
      <w:r w:rsidR="00B166BC">
        <w:rPr>
          <w:rFonts w:ascii="Verdana" w:hAnsi="Verdana"/>
          <w:sz w:val="20"/>
          <w:szCs w:val="20"/>
        </w:rPr>
        <w:t xml:space="preserve">al </w:t>
      </w:r>
      <w:r w:rsidRPr="00507671" w:rsidDel="00087671">
        <w:rPr>
          <w:rFonts w:ascii="Verdana" w:hAnsi="Verdana"/>
          <w:sz w:val="20"/>
          <w:szCs w:val="20"/>
        </w:rPr>
        <w:t>2.5.</w:t>
      </w:r>
      <w:r w:rsidR="000746FE">
        <w:rPr>
          <w:rFonts w:ascii="Verdana" w:hAnsi="Verdana"/>
          <w:sz w:val="20"/>
          <w:szCs w:val="20"/>
        </w:rPr>
        <w:t>69.</w:t>
      </w:r>
      <w:r w:rsidRPr="00507671" w:rsidDel="00087671">
        <w:rPr>
          <w:rFonts w:ascii="Verdana" w:hAnsi="Verdana"/>
          <w:sz w:val="20"/>
          <w:szCs w:val="20"/>
        </w:rPr>
        <w:t xml:space="preserve"> </w:t>
      </w:r>
      <w:r w:rsidRPr="00507671">
        <w:rPr>
          <w:rFonts w:ascii="Verdana" w:hAnsi="Verdana"/>
          <w:sz w:val="20"/>
          <w:szCs w:val="20"/>
        </w:rPr>
        <w:t>del presente capítulo.</w:t>
      </w:r>
    </w:p>
    <w:p w14:paraId="07F12A01" w14:textId="77777777" w:rsidR="009D1CDF" w:rsidRPr="00507671" w:rsidRDefault="009D1CDF" w:rsidP="009D1CDF">
      <w:pPr>
        <w:spacing w:after="0"/>
        <w:jc w:val="both"/>
        <w:rPr>
          <w:rFonts w:ascii="Verdana" w:hAnsi="Verdana"/>
          <w:sz w:val="20"/>
          <w:szCs w:val="20"/>
        </w:rPr>
      </w:pPr>
    </w:p>
    <w:p w14:paraId="6D5C45E8" w14:textId="71F91029" w:rsidR="00E30972" w:rsidRDefault="00E30972" w:rsidP="00E30972">
      <w:pPr>
        <w:spacing w:after="0"/>
        <w:jc w:val="both"/>
        <w:rPr>
          <w:rFonts w:ascii="Verdana" w:hAnsi="Verdana"/>
          <w:sz w:val="20"/>
          <w:szCs w:val="20"/>
        </w:rPr>
      </w:pPr>
      <w:r w:rsidRPr="543C6D08">
        <w:rPr>
          <w:rFonts w:ascii="Verdana" w:hAnsi="Verdana"/>
          <w:sz w:val="20"/>
          <w:szCs w:val="20"/>
        </w:rPr>
        <w:t>2.5.</w:t>
      </w:r>
      <w:r w:rsidR="543C6C36" w:rsidRPr="543C6D08">
        <w:rPr>
          <w:rFonts w:ascii="Verdana" w:hAnsi="Verdana"/>
          <w:sz w:val="20"/>
          <w:szCs w:val="20"/>
        </w:rPr>
        <w:t>71</w:t>
      </w:r>
      <w:r w:rsidRPr="543C6D08">
        <w:rPr>
          <w:rFonts w:ascii="Verdana" w:hAnsi="Verdana"/>
          <w:sz w:val="20"/>
          <w:szCs w:val="20"/>
        </w:rPr>
        <w:t>.</w:t>
      </w:r>
    </w:p>
    <w:p w14:paraId="49E521C2" w14:textId="619E91DD" w:rsidR="009D1CDF" w:rsidRPr="00507671" w:rsidRDefault="009D1CDF" w:rsidP="009D1CDF">
      <w:pPr>
        <w:spacing w:after="0"/>
        <w:jc w:val="both"/>
        <w:rPr>
          <w:rFonts w:ascii="Verdana" w:hAnsi="Verdana"/>
          <w:sz w:val="20"/>
          <w:szCs w:val="20"/>
        </w:rPr>
      </w:pPr>
      <w:r w:rsidRPr="00507671">
        <w:rPr>
          <w:rFonts w:ascii="Verdana" w:hAnsi="Verdana"/>
          <w:sz w:val="20"/>
          <w:szCs w:val="20"/>
        </w:rPr>
        <w:t>En el cálculo del importe correspondiente a las operaciones en otros ramos o productos, para la aplicación por primera vez, el límite de UVR se determinará tal como se establece en</w:t>
      </w:r>
      <w:r w:rsidR="00C1461E">
        <w:rPr>
          <w:rFonts w:ascii="Verdana" w:hAnsi="Verdana"/>
          <w:sz w:val="20"/>
          <w:szCs w:val="20"/>
        </w:rPr>
        <w:t xml:space="preserve"> los párrafos </w:t>
      </w:r>
      <w:r w:rsidR="00FA3F12">
        <w:rPr>
          <w:rFonts w:ascii="Verdana" w:hAnsi="Verdana"/>
          <w:sz w:val="20"/>
          <w:szCs w:val="20"/>
        </w:rPr>
        <w:t xml:space="preserve">2.5.39. </w:t>
      </w:r>
      <w:r w:rsidR="00B166BC">
        <w:rPr>
          <w:rFonts w:ascii="Verdana" w:hAnsi="Verdana"/>
          <w:sz w:val="20"/>
          <w:szCs w:val="20"/>
        </w:rPr>
        <w:t>al</w:t>
      </w:r>
      <w:r w:rsidR="00FA3F12" w:rsidDel="009D1CDF">
        <w:rPr>
          <w:rFonts w:ascii="Verdana" w:hAnsi="Verdana"/>
          <w:sz w:val="20"/>
          <w:szCs w:val="20"/>
        </w:rPr>
        <w:t xml:space="preserve"> 2.5.</w:t>
      </w:r>
      <w:r w:rsidR="00FA3F12">
        <w:rPr>
          <w:rFonts w:ascii="Verdana" w:hAnsi="Verdana"/>
          <w:sz w:val="20"/>
          <w:szCs w:val="20"/>
        </w:rPr>
        <w:t>56</w:t>
      </w:r>
      <w:r w:rsidR="00DF4696">
        <w:rPr>
          <w:rFonts w:ascii="Verdana" w:hAnsi="Verdana"/>
          <w:sz w:val="20"/>
          <w:szCs w:val="20"/>
        </w:rPr>
        <w:t xml:space="preserve"> </w:t>
      </w:r>
      <w:r w:rsidRPr="00507671">
        <w:rPr>
          <w:rFonts w:ascii="Verdana" w:hAnsi="Verdana"/>
          <w:sz w:val="20"/>
          <w:szCs w:val="20"/>
        </w:rPr>
        <w:t xml:space="preserve">del presente capítulo, tomando la información de primas </w:t>
      </w:r>
      <w:r w:rsidRPr="00507671">
        <w:rPr>
          <w:rFonts w:ascii="Verdana" w:hAnsi="Verdana"/>
          <w:sz w:val="20"/>
          <w:szCs w:val="20"/>
        </w:rPr>
        <w:lastRenderedPageBreak/>
        <w:t>y siniestros de las entidades aseguradoras que operen como entidades de seguros generales y de seguros de vida bajo una única licencia en el país objeto de cálculo.</w:t>
      </w:r>
    </w:p>
    <w:p w14:paraId="12D6005E" w14:textId="77777777" w:rsidR="002939E8" w:rsidRDefault="002939E8" w:rsidP="002939E8">
      <w:pPr>
        <w:spacing w:after="0"/>
        <w:jc w:val="both"/>
        <w:rPr>
          <w:rFonts w:ascii="Verdana" w:hAnsi="Verdana"/>
          <w:sz w:val="20"/>
          <w:szCs w:val="20"/>
        </w:rPr>
      </w:pPr>
    </w:p>
    <w:p w14:paraId="0068D10D" w14:textId="7585D178" w:rsidR="009D1CDF" w:rsidRPr="006C6FEF" w:rsidRDefault="00F2531D" w:rsidP="006C6FEF">
      <w:pPr>
        <w:pStyle w:val="Prrafodelista"/>
        <w:numPr>
          <w:ilvl w:val="0"/>
          <w:numId w:val="21"/>
        </w:numPr>
        <w:spacing w:after="0"/>
        <w:ind w:left="567" w:hanging="283"/>
        <w:jc w:val="both"/>
        <w:rPr>
          <w:rFonts w:ascii="Verdana" w:hAnsi="Verdana"/>
          <w:b/>
          <w:sz w:val="20"/>
          <w:szCs w:val="20"/>
        </w:rPr>
      </w:pPr>
      <w:r>
        <w:rPr>
          <w:rFonts w:ascii="Verdana" w:hAnsi="Verdana"/>
          <w:b/>
          <w:sz w:val="20"/>
          <w:szCs w:val="20"/>
        </w:rPr>
        <w:t>R</w:t>
      </w:r>
      <w:r w:rsidR="006C6FEF" w:rsidRPr="006C6FEF">
        <w:rPr>
          <w:rFonts w:ascii="Verdana" w:hAnsi="Verdana"/>
          <w:b/>
          <w:sz w:val="20"/>
          <w:szCs w:val="20"/>
        </w:rPr>
        <w:t>iesgo de mercado</w:t>
      </w:r>
    </w:p>
    <w:p w14:paraId="50287ED1" w14:textId="77777777" w:rsidR="009D1CDF" w:rsidRPr="00507671" w:rsidRDefault="009D1CDF" w:rsidP="009D1CDF">
      <w:pPr>
        <w:spacing w:after="0"/>
        <w:jc w:val="both"/>
        <w:rPr>
          <w:rFonts w:ascii="Verdana" w:hAnsi="Verdana"/>
          <w:b/>
          <w:sz w:val="20"/>
          <w:szCs w:val="20"/>
        </w:rPr>
      </w:pPr>
    </w:p>
    <w:p w14:paraId="6199530A" w14:textId="333739FF" w:rsidR="009D1CDF" w:rsidRPr="00C1461E" w:rsidRDefault="009D1CDF" w:rsidP="009D1CDF">
      <w:pPr>
        <w:pStyle w:val="Prrafodelista"/>
        <w:numPr>
          <w:ilvl w:val="0"/>
          <w:numId w:val="30"/>
        </w:numPr>
        <w:spacing w:after="0"/>
        <w:ind w:left="851" w:hanging="284"/>
        <w:jc w:val="both"/>
        <w:rPr>
          <w:rFonts w:ascii="Verdana" w:hAnsi="Verdana"/>
          <w:b/>
          <w:sz w:val="20"/>
          <w:szCs w:val="20"/>
        </w:rPr>
      </w:pPr>
      <w:r w:rsidRPr="00F2531D">
        <w:rPr>
          <w:rFonts w:ascii="Verdana" w:hAnsi="Verdana"/>
          <w:b/>
          <w:sz w:val="20"/>
          <w:szCs w:val="20"/>
        </w:rPr>
        <w:t>Entidades de seguros generales</w:t>
      </w:r>
    </w:p>
    <w:p w14:paraId="6354A06A" w14:textId="06012F3E" w:rsidR="00E30972" w:rsidRDefault="00E30972" w:rsidP="00E30972">
      <w:pPr>
        <w:spacing w:after="0"/>
        <w:jc w:val="both"/>
        <w:rPr>
          <w:rFonts w:ascii="Verdana" w:hAnsi="Verdana"/>
          <w:sz w:val="20"/>
          <w:szCs w:val="20"/>
        </w:rPr>
      </w:pPr>
      <w:r w:rsidRPr="543C6D08">
        <w:rPr>
          <w:rFonts w:ascii="Verdana" w:hAnsi="Verdana"/>
          <w:sz w:val="20"/>
          <w:szCs w:val="20"/>
        </w:rPr>
        <w:t>2.5.</w:t>
      </w:r>
      <w:r w:rsidR="6BE6BA72" w:rsidRPr="543C6D08">
        <w:rPr>
          <w:rFonts w:ascii="Verdana" w:hAnsi="Verdana"/>
          <w:sz w:val="20"/>
          <w:szCs w:val="20"/>
        </w:rPr>
        <w:t>72</w:t>
      </w:r>
      <w:r w:rsidRPr="543C6D08">
        <w:rPr>
          <w:rFonts w:ascii="Verdana" w:hAnsi="Verdana"/>
          <w:sz w:val="20"/>
          <w:szCs w:val="20"/>
        </w:rPr>
        <w:t>.</w:t>
      </w:r>
    </w:p>
    <w:p w14:paraId="5213A39D" w14:textId="5CDB94D4" w:rsidR="009D1CDF" w:rsidRPr="00507671" w:rsidRDefault="009D1CDF" w:rsidP="009D1CDF">
      <w:pPr>
        <w:spacing w:after="0"/>
        <w:jc w:val="both"/>
        <w:rPr>
          <w:rFonts w:ascii="Verdana" w:hAnsi="Verdana"/>
          <w:sz w:val="20"/>
          <w:szCs w:val="20"/>
        </w:rPr>
      </w:pPr>
      <w:r w:rsidRPr="00507671">
        <w:rPr>
          <w:rFonts w:ascii="Verdana" w:hAnsi="Verdana"/>
          <w:sz w:val="20"/>
          <w:szCs w:val="20"/>
        </w:rPr>
        <w:t xml:space="preserve">El holding financiero debe calcular el riesgo de mercado </w:t>
      </w:r>
      <w:r w:rsidRPr="00507671">
        <w:rPr>
          <w:rFonts w:ascii="Verdana" w:hAnsi="Verdana"/>
          <w:sz w:val="20"/>
          <w:szCs w:val="20"/>
          <w:lang w:val="es-ES"/>
        </w:rPr>
        <w:t xml:space="preserve">para las inversiones que respalden las reservas técnicas de las entidades de seguros generales que hagan parte del conglomerado financiero y que no sean vigiladas por la SFC, siguiendo metodología </w:t>
      </w:r>
      <w:r w:rsidRPr="00E30972">
        <w:rPr>
          <w:rFonts w:ascii="Verdana" w:hAnsi="Verdana"/>
          <w:sz w:val="20"/>
          <w:szCs w:val="20"/>
          <w:lang w:val="es-ES"/>
        </w:rPr>
        <w:t xml:space="preserve">estándar contenida en los </w:t>
      </w:r>
      <w:r w:rsidRPr="000D18FC">
        <w:rPr>
          <w:rFonts w:ascii="Verdana" w:hAnsi="Verdana"/>
          <w:sz w:val="20"/>
          <w:szCs w:val="20"/>
          <w:lang w:val="es-ES"/>
        </w:rPr>
        <w:t>anexos</w:t>
      </w:r>
      <w:r w:rsidR="000F49A0" w:rsidRPr="000D18FC">
        <w:rPr>
          <w:rFonts w:ascii="Verdana" w:hAnsi="Verdana"/>
          <w:sz w:val="20"/>
          <w:szCs w:val="20"/>
          <w:lang w:val="es-ES"/>
        </w:rPr>
        <w:t xml:space="preserve"> </w:t>
      </w:r>
      <w:r w:rsidRPr="000D18FC">
        <w:rPr>
          <w:rFonts w:ascii="Verdana" w:hAnsi="Verdana"/>
          <w:sz w:val="20"/>
          <w:szCs w:val="20"/>
          <w:lang w:val="es-ES"/>
        </w:rPr>
        <w:t>7 y 8 del</w:t>
      </w:r>
      <w:r w:rsidR="000D18FC" w:rsidRPr="000D18FC">
        <w:rPr>
          <w:rFonts w:ascii="Verdana" w:hAnsi="Verdana"/>
          <w:sz w:val="20"/>
          <w:szCs w:val="20"/>
          <w:lang w:val="es-ES"/>
        </w:rPr>
        <w:t xml:space="preserve"> capítulo</w:t>
      </w:r>
      <w:r w:rsidR="000D18FC">
        <w:rPr>
          <w:rFonts w:ascii="Verdana" w:hAnsi="Verdana" w:cs="Arial"/>
          <w:sz w:val="20"/>
          <w:szCs w:val="20"/>
        </w:rPr>
        <w:t xml:space="preserve"> 1 de la parte 1 de la CBRAPIF</w:t>
      </w:r>
      <w:r w:rsidRPr="00E30972">
        <w:rPr>
          <w:rFonts w:ascii="Verdana" w:hAnsi="Verdana"/>
          <w:sz w:val="20"/>
          <w:szCs w:val="20"/>
          <w:lang w:val="es-ES"/>
        </w:rPr>
        <w:t>, y sus</w:t>
      </w:r>
      <w:r w:rsidRPr="00507671">
        <w:rPr>
          <w:rFonts w:ascii="Verdana" w:hAnsi="Verdana"/>
          <w:sz w:val="20"/>
          <w:szCs w:val="20"/>
          <w:lang w:val="es-ES"/>
        </w:rPr>
        <w:t xml:space="preserve"> modificaciones o adiciones. La metodología estandarizada se compone de 4 módulos los cuales se calculan separadamente</w:t>
      </w:r>
      <w:r w:rsidRPr="00507671">
        <w:rPr>
          <w:rFonts w:ascii="Verdana" w:hAnsi="Verdana"/>
          <w:sz w:val="20"/>
          <w:szCs w:val="20"/>
        </w:rPr>
        <w:t xml:space="preserve"> y son los siguientes:</w:t>
      </w:r>
    </w:p>
    <w:p w14:paraId="567896F9" w14:textId="77777777" w:rsidR="009D1CDF" w:rsidRPr="00507671" w:rsidRDefault="009D1CDF" w:rsidP="009D1CDF">
      <w:pPr>
        <w:spacing w:after="0"/>
        <w:jc w:val="both"/>
        <w:rPr>
          <w:rFonts w:ascii="Verdana" w:hAnsi="Verdana"/>
          <w:sz w:val="20"/>
          <w:szCs w:val="20"/>
        </w:rPr>
      </w:pPr>
    </w:p>
    <w:p w14:paraId="2827B4DC" w14:textId="77777777" w:rsidR="008001C9" w:rsidRDefault="009D1CDF" w:rsidP="008001C9">
      <w:pPr>
        <w:pStyle w:val="Prrafodelista"/>
        <w:numPr>
          <w:ilvl w:val="1"/>
          <w:numId w:val="5"/>
        </w:numPr>
        <w:spacing w:after="0"/>
        <w:ind w:left="567" w:hanging="567"/>
        <w:jc w:val="both"/>
        <w:rPr>
          <w:rFonts w:ascii="Verdana" w:hAnsi="Verdana"/>
          <w:sz w:val="20"/>
          <w:szCs w:val="20"/>
        </w:rPr>
      </w:pPr>
      <w:r w:rsidRPr="008001C9">
        <w:rPr>
          <w:rFonts w:ascii="Verdana" w:hAnsi="Verdana"/>
          <w:sz w:val="20"/>
          <w:szCs w:val="20"/>
        </w:rPr>
        <w:t>Riesgo de tasa de interés</w:t>
      </w:r>
    </w:p>
    <w:p w14:paraId="6A38D345" w14:textId="77777777" w:rsidR="008001C9" w:rsidRDefault="008001C9" w:rsidP="008001C9">
      <w:pPr>
        <w:pStyle w:val="Prrafodelista"/>
        <w:spacing w:after="0"/>
        <w:ind w:left="567"/>
        <w:jc w:val="both"/>
        <w:rPr>
          <w:rFonts w:ascii="Verdana" w:hAnsi="Verdana"/>
          <w:sz w:val="20"/>
          <w:szCs w:val="20"/>
        </w:rPr>
      </w:pPr>
    </w:p>
    <w:p w14:paraId="07ADB799" w14:textId="77777777" w:rsidR="008001C9" w:rsidRDefault="009D1CDF" w:rsidP="008001C9">
      <w:pPr>
        <w:pStyle w:val="Prrafodelista"/>
        <w:numPr>
          <w:ilvl w:val="1"/>
          <w:numId w:val="5"/>
        </w:numPr>
        <w:spacing w:after="0"/>
        <w:ind w:left="567" w:hanging="567"/>
        <w:jc w:val="both"/>
        <w:rPr>
          <w:rFonts w:ascii="Verdana" w:hAnsi="Verdana"/>
          <w:sz w:val="20"/>
          <w:szCs w:val="20"/>
        </w:rPr>
      </w:pPr>
      <w:r w:rsidRPr="008001C9">
        <w:rPr>
          <w:rFonts w:ascii="Verdana" w:hAnsi="Verdana"/>
          <w:sz w:val="20"/>
          <w:szCs w:val="20"/>
        </w:rPr>
        <w:t>Riesgo de tasa de cambio</w:t>
      </w:r>
    </w:p>
    <w:p w14:paraId="2E6923DA" w14:textId="77777777" w:rsidR="008001C9" w:rsidRPr="008001C9" w:rsidRDefault="008001C9" w:rsidP="008001C9">
      <w:pPr>
        <w:pStyle w:val="Prrafodelista"/>
        <w:rPr>
          <w:rFonts w:ascii="Verdana" w:hAnsi="Verdana"/>
          <w:sz w:val="20"/>
          <w:szCs w:val="20"/>
        </w:rPr>
      </w:pPr>
    </w:p>
    <w:p w14:paraId="6295E378" w14:textId="77777777" w:rsidR="008001C9" w:rsidRDefault="009D1CDF" w:rsidP="008001C9">
      <w:pPr>
        <w:pStyle w:val="Prrafodelista"/>
        <w:numPr>
          <w:ilvl w:val="1"/>
          <w:numId w:val="5"/>
        </w:numPr>
        <w:spacing w:after="0"/>
        <w:ind w:left="567" w:hanging="567"/>
        <w:jc w:val="both"/>
        <w:rPr>
          <w:rFonts w:ascii="Verdana" w:hAnsi="Verdana"/>
          <w:sz w:val="20"/>
          <w:szCs w:val="20"/>
        </w:rPr>
      </w:pPr>
      <w:r w:rsidRPr="008001C9">
        <w:rPr>
          <w:rFonts w:ascii="Verdana" w:hAnsi="Verdana"/>
          <w:sz w:val="20"/>
          <w:szCs w:val="20"/>
        </w:rPr>
        <w:t>Riesgo de precio de acciones</w:t>
      </w:r>
    </w:p>
    <w:p w14:paraId="2B445487" w14:textId="77777777" w:rsidR="008001C9" w:rsidRPr="008001C9" w:rsidRDefault="008001C9" w:rsidP="008001C9">
      <w:pPr>
        <w:pStyle w:val="Prrafodelista"/>
        <w:rPr>
          <w:rFonts w:ascii="Verdana" w:hAnsi="Verdana"/>
          <w:sz w:val="20"/>
          <w:szCs w:val="20"/>
        </w:rPr>
      </w:pPr>
    </w:p>
    <w:p w14:paraId="5A5C3404" w14:textId="711F8DF5" w:rsidR="009D1CDF" w:rsidRPr="008001C9" w:rsidRDefault="009D1CDF" w:rsidP="008001C9">
      <w:pPr>
        <w:pStyle w:val="Prrafodelista"/>
        <w:numPr>
          <w:ilvl w:val="1"/>
          <w:numId w:val="5"/>
        </w:numPr>
        <w:spacing w:after="0"/>
        <w:ind w:left="567" w:hanging="567"/>
        <w:jc w:val="both"/>
        <w:rPr>
          <w:rFonts w:ascii="Verdana" w:hAnsi="Verdana"/>
          <w:sz w:val="20"/>
          <w:szCs w:val="20"/>
        </w:rPr>
      </w:pPr>
      <w:r w:rsidRPr="008001C9">
        <w:rPr>
          <w:rFonts w:ascii="Verdana" w:hAnsi="Verdana"/>
          <w:sz w:val="20"/>
          <w:szCs w:val="20"/>
        </w:rPr>
        <w:t>Riesgo de fondos de inversión colectiva</w:t>
      </w:r>
    </w:p>
    <w:p w14:paraId="1E445665" w14:textId="77777777" w:rsidR="009D1CDF" w:rsidRPr="00507671" w:rsidRDefault="009D1CDF" w:rsidP="009D1CDF">
      <w:pPr>
        <w:spacing w:after="0"/>
        <w:jc w:val="both"/>
        <w:rPr>
          <w:rFonts w:ascii="Verdana" w:hAnsi="Verdana"/>
          <w:sz w:val="20"/>
          <w:szCs w:val="20"/>
        </w:rPr>
      </w:pPr>
    </w:p>
    <w:p w14:paraId="4FFA1D0D" w14:textId="465075F8" w:rsidR="00E61C78" w:rsidRDefault="00E61C78" w:rsidP="00E61C78">
      <w:pPr>
        <w:spacing w:after="0"/>
        <w:jc w:val="both"/>
        <w:rPr>
          <w:rFonts w:ascii="Verdana" w:hAnsi="Verdana"/>
          <w:sz w:val="20"/>
          <w:szCs w:val="20"/>
        </w:rPr>
      </w:pPr>
      <w:r w:rsidRPr="543C6D08">
        <w:rPr>
          <w:rFonts w:ascii="Verdana" w:hAnsi="Verdana"/>
          <w:sz w:val="20"/>
          <w:szCs w:val="20"/>
        </w:rPr>
        <w:t>2.5.</w:t>
      </w:r>
      <w:r w:rsidR="41FE3CD3" w:rsidRPr="543C6D08">
        <w:rPr>
          <w:rFonts w:ascii="Verdana" w:hAnsi="Verdana"/>
          <w:sz w:val="20"/>
          <w:szCs w:val="20"/>
        </w:rPr>
        <w:t>73</w:t>
      </w:r>
      <w:r w:rsidRPr="543C6D08">
        <w:rPr>
          <w:rFonts w:ascii="Verdana" w:hAnsi="Verdana"/>
          <w:sz w:val="20"/>
          <w:szCs w:val="20"/>
        </w:rPr>
        <w:t>.</w:t>
      </w:r>
    </w:p>
    <w:p w14:paraId="3EB32B78" w14:textId="1700ABAC" w:rsidR="009D1CDF" w:rsidRPr="00507671" w:rsidRDefault="009D1CDF" w:rsidP="009D1CDF">
      <w:pPr>
        <w:spacing w:after="0"/>
        <w:jc w:val="both"/>
        <w:rPr>
          <w:rFonts w:ascii="Verdana" w:hAnsi="Verdana"/>
          <w:sz w:val="20"/>
          <w:szCs w:val="20"/>
        </w:rPr>
      </w:pPr>
      <w:r w:rsidRPr="00507671">
        <w:rPr>
          <w:rFonts w:ascii="Verdana" w:hAnsi="Verdana"/>
          <w:sz w:val="20"/>
          <w:szCs w:val="20"/>
        </w:rPr>
        <w:t xml:space="preserve">Para obtener la exposición total al riesgo de mercado los resultados de estos 4 módulos se deben agregar aritméticamente. Sin embargo, para la aplicación de la metodología estandarizada, el holding financiero debe realizar los cálculos y aplicar los choques de tasas de interés y factores de ajuste vertical y horizontal (para el riesgo de tasa de interés) y los factores de sensibilidad (para los riesgos de tasa de cambio y de precio de las acciones) para cada jurisdicción en donde opere la entidad, y no aplicar los definidos en los </w:t>
      </w:r>
      <w:r w:rsidRPr="009030FC">
        <w:rPr>
          <w:rFonts w:ascii="Verdana" w:hAnsi="Verdana"/>
          <w:sz w:val="20"/>
          <w:szCs w:val="20"/>
        </w:rPr>
        <w:t>anexos 7</w:t>
      </w:r>
      <w:r w:rsidR="000F49A0" w:rsidRPr="009030FC">
        <w:rPr>
          <w:rFonts w:ascii="Verdana" w:hAnsi="Verdana"/>
          <w:sz w:val="20"/>
          <w:szCs w:val="20"/>
        </w:rPr>
        <w:t xml:space="preserve"> </w:t>
      </w:r>
      <w:r w:rsidRPr="009030FC">
        <w:rPr>
          <w:rFonts w:ascii="Verdana" w:hAnsi="Verdana"/>
          <w:sz w:val="20"/>
          <w:szCs w:val="20"/>
        </w:rPr>
        <w:t xml:space="preserve">y 8 del </w:t>
      </w:r>
      <w:r w:rsidR="009030FC" w:rsidRPr="009030FC">
        <w:rPr>
          <w:rFonts w:ascii="Verdana" w:hAnsi="Verdana"/>
          <w:sz w:val="20"/>
          <w:szCs w:val="20"/>
        </w:rPr>
        <w:t>del capítulo</w:t>
      </w:r>
      <w:r w:rsidR="009030FC">
        <w:rPr>
          <w:rFonts w:ascii="Verdana" w:hAnsi="Verdana" w:cs="Arial"/>
          <w:sz w:val="20"/>
          <w:szCs w:val="20"/>
        </w:rPr>
        <w:t xml:space="preserve"> 1 de la parte 1 de la CBRAPIF</w:t>
      </w:r>
      <w:r w:rsidR="009030FC" w:rsidRPr="00507671">
        <w:rPr>
          <w:rFonts w:ascii="Verdana" w:hAnsi="Verdana"/>
          <w:sz w:val="20"/>
          <w:szCs w:val="20"/>
        </w:rPr>
        <w:t xml:space="preserve"> </w:t>
      </w:r>
      <w:r w:rsidRPr="00507671">
        <w:rPr>
          <w:rFonts w:ascii="Verdana" w:hAnsi="Verdana"/>
          <w:sz w:val="20"/>
          <w:szCs w:val="20"/>
        </w:rPr>
        <w:t>aplicable a las entidades vigiladas establecidas en Colombia. Para tal fin se deben utilizar como fuentes de información los proveedores de información reconocidos internacionalmente, proveedores de precios para valoración autorizados para operar como tal por el supervisor de la respectiva jurisdicción o utilizar el marco normativo vigente en materia de valoración en la jurisdicción correspondiente.</w:t>
      </w:r>
    </w:p>
    <w:p w14:paraId="7A977F12" w14:textId="77777777" w:rsidR="009D1CDF" w:rsidRPr="00507671" w:rsidRDefault="009D1CDF" w:rsidP="009D1CDF">
      <w:pPr>
        <w:spacing w:after="0"/>
        <w:jc w:val="both"/>
        <w:rPr>
          <w:rFonts w:ascii="Verdana" w:hAnsi="Verdana"/>
          <w:sz w:val="20"/>
          <w:szCs w:val="20"/>
        </w:rPr>
      </w:pPr>
    </w:p>
    <w:p w14:paraId="3EA158E4" w14:textId="7BD7F0B5" w:rsidR="00E61C78" w:rsidRDefault="00E61C78" w:rsidP="00E61C78">
      <w:pPr>
        <w:spacing w:after="0"/>
        <w:jc w:val="both"/>
        <w:rPr>
          <w:rFonts w:ascii="Verdana" w:hAnsi="Verdana"/>
          <w:sz w:val="20"/>
          <w:szCs w:val="20"/>
        </w:rPr>
      </w:pPr>
      <w:r w:rsidRPr="543C6D08">
        <w:rPr>
          <w:rFonts w:ascii="Verdana" w:hAnsi="Verdana"/>
          <w:sz w:val="20"/>
          <w:szCs w:val="20"/>
        </w:rPr>
        <w:t>2.5.</w:t>
      </w:r>
      <w:r w:rsidR="76098C0A" w:rsidRPr="543C6D08">
        <w:rPr>
          <w:rFonts w:ascii="Verdana" w:hAnsi="Verdana"/>
          <w:sz w:val="20"/>
          <w:szCs w:val="20"/>
        </w:rPr>
        <w:t>74</w:t>
      </w:r>
      <w:r w:rsidRPr="543C6D08">
        <w:rPr>
          <w:rFonts w:ascii="Verdana" w:hAnsi="Verdana"/>
          <w:sz w:val="20"/>
          <w:szCs w:val="20"/>
        </w:rPr>
        <w:t>.</w:t>
      </w:r>
    </w:p>
    <w:p w14:paraId="20F2C5A2"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 xml:space="preserve">Las posiciones en instrumentos derivados y en operaciones de repo o reporto, en operaciones simultáneas y en operaciones de transferencia temporal de valores serán tenidas en cuenta para el cálculo de los requerimientos de capital en cada uno de los módulos de acuerdo con las condiciones señaladas en el mencionado anexo. </w:t>
      </w:r>
    </w:p>
    <w:p w14:paraId="1C94A781" w14:textId="77777777" w:rsidR="009D1CDF" w:rsidRPr="00507671" w:rsidRDefault="009D1CDF" w:rsidP="009D1CDF">
      <w:pPr>
        <w:spacing w:after="0"/>
        <w:jc w:val="both"/>
        <w:rPr>
          <w:rFonts w:ascii="Verdana" w:hAnsi="Verdana"/>
          <w:sz w:val="20"/>
          <w:szCs w:val="20"/>
        </w:rPr>
      </w:pPr>
    </w:p>
    <w:p w14:paraId="3E4FA086" w14:textId="7A04F58D" w:rsidR="00E61C78" w:rsidRDefault="00E61C78" w:rsidP="00E61C78">
      <w:pPr>
        <w:spacing w:after="0"/>
        <w:jc w:val="both"/>
        <w:rPr>
          <w:rFonts w:ascii="Verdana" w:hAnsi="Verdana"/>
          <w:sz w:val="20"/>
          <w:szCs w:val="20"/>
        </w:rPr>
      </w:pPr>
      <w:r w:rsidRPr="543C6D08">
        <w:rPr>
          <w:rFonts w:ascii="Verdana" w:hAnsi="Verdana"/>
          <w:sz w:val="20"/>
          <w:szCs w:val="20"/>
        </w:rPr>
        <w:t>2.5.</w:t>
      </w:r>
      <w:r w:rsidR="53F61B2D" w:rsidRPr="543C6D08">
        <w:rPr>
          <w:rFonts w:ascii="Verdana" w:hAnsi="Verdana"/>
          <w:sz w:val="20"/>
          <w:szCs w:val="20"/>
        </w:rPr>
        <w:t>75</w:t>
      </w:r>
      <w:r w:rsidRPr="543C6D08">
        <w:rPr>
          <w:rFonts w:ascii="Verdana" w:hAnsi="Verdana"/>
          <w:sz w:val="20"/>
          <w:szCs w:val="20"/>
        </w:rPr>
        <w:t>.</w:t>
      </w:r>
    </w:p>
    <w:p w14:paraId="0DEAB690"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Para el cálculo de los factores aplicables a cada uno de los módulos (riesgo de tasa de interés, riesgo de tasa de cambio, riesgo de precio de acciones y riesgo de FIC), se deben seguir las siguientes instrucciones:</w:t>
      </w:r>
    </w:p>
    <w:p w14:paraId="006A7CB8" w14:textId="77777777" w:rsidR="009D1CDF" w:rsidRPr="00507671" w:rsidRDefault="009D1CDF" w:rsidP="009D1CDF">
      <w:pPr>
        <w:spacing w:after="0"/>
        <w:jc w:val="both"/>
        <w:rPr>
          <w:rFonts w:ascii="Verdana" w:hAnsi="Verdana"/>
          <w:b/>
          <w:sz w:val="20"/>
          <w:szCs w:val="20"/>
        </w:rPr>
      </w:pPr>
    </w:p>
    <w:p w14:paraId="0A6EA80A" w14:textId="6443C862" w:rsidR="00A52F20" w:rsidRDefault="00A52F20" w:rsidP="00A52F20">
      <w:pPr>
        <w:pStyle w:val="Prrafodelista"/>
        <w:numPr>
          <w:ilvl w:val="0"/>
          <w:numId w:val="30"/>
        </w:numPr>
        <w:spacing w:after="0"/>
        <w:ind w:left="1134" w:hanging="283"/>
        <w:jc w:val="both"/>
        <w:rPr>
          <w:rFonts w:ascii="Verdana" w:hAnsi="Verdana"/>
          <w:b/>
          <w:bCs/>
          <w:sz w:val="20"/>
          <w:szCs w:val="20"/>
        </w:rPr>
      </w:pPr>
      <w:r w:rsidRPr="00A52F20">
        <w:rPr>
          <w:rFonts w:ascii="Verdana" w:hAnsi="Verdana"/>
          <w:b/>
          <w:bCs/>
          <w:sz w:val="20"/>
          <w:szCs w:val="20"/>
        </w:rPr>
        <w:t>Riesgo de tasa de interés</w:t>
      </w:r>
    </w:p>
    <w:p w14:paraId="08C171CB" w14:textId="77777777" w:rsidR="00B93371" w:rsidRPr="00B93371" w:rsidRDefault="00B93371" w:rsidP="00B93371">
      <w:pPr>
        <w:pStyle w:val="Prrafodelista"/>
        <w:spacing w:after="0"/>
        <w:ind w:left="1134"/>
        <w:jc w:val="both"/>
        <w:rPr>
          <w:rFonts w:ascii="Verdana" w:hAnsi="Verdana"/>
          <w:b/>
          <w:bCs/>
          <w:sz w:val="20"/>
          <w:szCs w:val="20"/>
        </w:rPr>
      </w:pPr>
    </w:p>
    <w:p w14:paraId="7C4666FD" w14:textId="0989988F" w:rsidR="00B93371" w:rsidRDefault="00B93371" w:rsidP="00B93371">
      <w:pPr>
        <w:spacing w:after="0"/>
        <w:jc w:val="both"/>
        <w:rPr>
          <w:rFonts w:ascii="Verdana" w:hAnsi="Verdana"/>
          <w:sz w:val="20"/>
          <w:szCs w:val="20"/>
        </w:rPr>
      </w:pPr>
      <w:r w:rsidRPr="543C6D08">
        <w:rPr>
          <w:rFonts w:ascii="Verdana" w:hAnsi="Verdana"/>
          <w:sz w:val="20"/>
          <w:szCs w:val="20"/>
        </w:rPr>
        <w:t>2.5.</w:t>
      </w:r>
      <w:r w:rsidR="7610715E" w:rsidRPr="543C6D08">
        <w:rPr>
          <w:rFonts w:ascii="Verdana" w:hAnsi="Verdana"/>
          <w:sz w:val="20"/>
          <w:szCs w:val="20"/>
        </w:rPr>
        <w:t>76</w:t>
      </w:r>
      <w:r w:rsidRPr="543C6D08">
        <w:rPr>
          <w:rFonts w:ascii="Verdana" w:hAnsi="Verdana"/>
          <w:sz w:val="20"/>
          <w:szCs w:val="20"/>
        </w:rPr>
        <w:t>.</w:t>
      </w:r>
    </w:p>
    <w:p w14:paraId="103F607C" w14:textId="3C154D19" w:rsidR="009D1CDF" w:rsidRPr="00A52F20" w:rsidRDefault="009D1CDF" w:rsidP="00B93371">
      <w:pPr>
        <w:spacing w:after="0"/>
        <w:jc w:val="both"/>
        <w:rPr>
          <w:rFonts w:ascii="Verdana" w:hAnsi="Verdana"/>
          <w:sz w:val="20"/>
          <w:szCs w:val="20"/>
        </w:rPr>
      </w:pPr>
      <w:r w:rsidRPr="00A52F20">
        <w:rPr>
          <w:rFonts w:ascii="Verdana" w:hAnsi="Verdana"/>
          <w:sz w:val="20"/>
          <w:szCs w:val="20"/>
        </w:rPr>
        <w:t xml:space="preserve">Se deben calcular los cambios en tasas de interés y factores de ajuste vertical y horizontal contenidos en </w:t>
      </w:r>
      <w:r w:rsidRPr="00E53798">
        <w:rPr>
          <w:rFonts w:ascii="Verdana" w:hAnsi="Verdana"/>
          <w:sz w:val="20"/>
          <w:szCs w:val="20"/>
        </w:rPr>
        <w:t xml:space="preserve">la tabla 1 del anexo 8 </w:t>
      </w:r>
      <w:r w:rsidR="004A766D" w:rsidRPr="00E53798">
        <w:rPr>
          <w:rFonts w:ascii="Verdana" w:hAnsi="Verdana"/>
          <w:sz w:val="20"/>
          <w:szCs w:val="20"/>
        </w:rPr>
        <w:t>del capítulo</w:t>
      </w:r>
      <w:r w:rsidR="004A766D">
        <w:rPr>
          <w:rFonts w:ascii="Verdana" w:hAnsi="Verdana" w:cs="Arial"/>
          <w:sz w:val="20"/>
          <w:szCs w:val="20"/>
        </w:rPr>
        <w:t xml:space="preserve"> 1 de la parte 1 de la CBRAPIF,</w:t>
      </w:r>
      <w:r w:rsidRPr="00A52F20">
        <w:rPr>
          <w:rFonts w:ascii="Verdana" w:hAnsi="Verdana"/>
          <w:sz w:val="20"/>
          <w:szCs w:val="20"/>
        </w:rPr>
        <w:t xml:space="preserve"> correspondientes a la jurisdicción en donde opera. Para esto podrá tomar como referencia los choques y factores calculados por la SFC.</w:t>
      </w:r>
    </w:p>
    <w:p w14:paraId="6A652D04" w14:textId="77777777" w:rsidR="009D1CDF" w:rsidRDefault="009D1CDF" w:rsidP="009D1CDF">
      <w:pPr>
        <w:spacing w:after="0"/>
        <w:jc w:val="both"/>
        <w:rPr>
          <w:rFonts w:ascii="Verdana" w:hAnsi="Verdana"/>
          <w:sz w:val="20"/>
          <w:szCs w:val="20"/>
        </w:rPr>
      </w:pPr>
    </w:p>
    <w:p w14:paraId="571369FB" w14:textId="1ED5B56E" w:rsidR="00A52F20" w:rsidRPr="00A52F20" w:rsidRDefault="00A52F20" w:rsidP="00A52F20">
      <w:pPr>
        <w:pStyle w:val="Prrafodelista"/>
        <w:numPr>
          <w:ilvl w:val="0"/>
          <w:numId w:val="30"/>
        </w:numPr>
        <w:spacing w:after="0"/>
        <w:ind w:left="1134" w:hanging="283"/>
        <w:jc w:val="both"/>
        <w:rPr>
          <w:rFonts w:ascii="Verdana" w:hAnsi="Verdana"/>
          <w:b/>
          <w:bCs/>
          <w:sz w:val="20"/>
          <w:szCs w:val="20"/>
        </w:rPr>
      </w:pPr>
      <w:r w:rsidRPr="00A52F20">
        <w:rPr>
          <w:rFonts w:ascii="Verdana" w:hAnsi="Verdana"/>
          <w:b/>
          <w:bCs/>
          <w:sz w:val="20"/>
          <w:szCs w:val="20"/>
        </w:rPr>
        <w:t>Riesgo de tasa de cambio</w:t>
      </w:r>
    </w:p>
    <w:p w14:paraId="0C645FEC" w14:textId="77777777" w:rsidR="00A52F20" w:rsidRDefault="00A52F20" w:rsidP="00A52F20">
      <w:pPr>
        <w:spacing w:after="0"/>
        <w:jc w:val="both"/>
        <w:rPr>
          <w:rFonts w:ascii="Verdana" w:hAnsi="Verdana"/>
          <w:sz w:val="20"/>
          <w:szCs w:val="20"/>
        </w:rPr>
      </w:pPr>
    </w:p>
    <w:p w14:paraId="5E6C269A" w14:textId="591A1170" w:rsidR="00B93371" w:rsidRDefault="00B93371" w:rsidP="00B93371">
      <w:pPr>
        <w:spacing w:after="0"/>
        <w:jc w:val="both"/>
        <w:rPr>
          <w:rFonts w:ascii="Verdana" w:hAnsi="Verdana"/>
          <w:sz w:val="20"/>
          <w:szCs w:val="20"/>
        </w:rPr>
      </w:pPr>
      <w:r w:rsidRPr="543C6D08">
        <w:rPr>
          <w:rFonts w:ascii="Verdana" w:hAnsi="Verdana"/>
          <w:sz w:val="20"/>
          <w:szCs w:val="20"/>
        </w:rPr>
        <w:t>2.5.</w:t>
      </w:r>
      <w:r w:rsidR="7F40139D" w:rsidRPr="543C6D08">
        <w:rPr>
          <w:rFonts w:ascii="Verdana" w:hAnsi="Verdana"/>
          <w:sz w:val="20"/>
          <w:szCs w:val="20"/>
        </w:rPr>
        <w:t>77</w:t>
      </w:r>
      <w:r w:rsidRPr="543C6D08">
        <w:rPr>
          <w:rFonts w:ascii="Verdana" w:hAnsi="Verdana"/>
          <w:sz w:val="20"/>
          <w:szCs w:val="20"/>
        </w:rPr>
        <w:t>.</w:t>
      </w:r>
    </w:p>
    <w:p w14:paraId="1EAD797C" w14:textId="7611DAA7" w:rsidR="008001C9" w:rsidRPr="00A52F20" w:rsidRDefault="00B93371" w:rsidP="00B93371">
      <w:pPr>
        <w:spacing w:after="0"/>
        <w:jc w:val="both"/>
        <w:rPr>
          <w:rFonts w:ascii="Verdana" w:hAnsi="Verdana"/>
          <w:sz w:val="20"/>
          <w:szCs w:val="20"/>
        </w:rPr>
      </w:pPr>
      <w:r w:rsidRPr="00A52F20">
        <w:rPr>
          <w:rFonts w:ascii="Verdana" w:hAnsi="Verdana"/>
          <w:sz w:val="20"/>
          <w:szCs w:val="20"/>
        </w:rPr>
        <w:t>Se</w:t>
      </w:r>
      <w:r w:rsidR="009D1CDF" w:rsidRPr="00A52F20">
        <w:rPr>
          <w:rFonts w:ascii="Verdana" w:hAnsi="Verdana"/>
          <w:sz w:val="20"/>
          <w:szCs w:val="20"/>
        </w:rPr>
        <w:t xml:space="preserve"> deben calcular los factores de sensibilidad por monedas, de manera separada al menos para el dólar de los Estados Unidos de América y el euro, respecto de la moneda local de la respectiva jurisdicción.</w:t>
      </w:r>
    </w:p>
    <w:p w14:paraId="0FD08B40" w14:textId="77777777" w:rsidR="00B93371" w:rsidRDefault="00B93371" w:rsidP="00B93371">
      <w:pPr>
        <w:spacing w:after="0"/>
        <w:jc w:val="both"/>
        <w:rPr>
          <w:rFonts w:ascii="Verdana" w:hAnsi="Verdana"/>
          <w:sz w:val="20"/>
          <w:szCs w:val="20"/>
          <w:lang w:val="es-MX"/>
        </w:rPr>
      </w:pPr>
    </w:p>
    <w:p w14:paraId="358C2CD1" w14:textId="384B14DA" w:rsidR="00B93371" w:rsidRDefault="00B93371" w:rsidP="00B93371">
      <w:pPr>
        <w:spacing w:after="0"/>
        <w:jc w:val="both"/>
        <w:rPr>
          <w:rFonts w:ascii="Verdana" w:hAnsi="Verdana"/>
          <w:sz w:val="20"/>
          <w:szCs w:val="20"/>
        </w:rPr>
      </w:pPr>
      <w:r w:rsidRPr="543C6D08">
        <w:rPr>
          <w:rFonts w:ascii="Verdana" w:hAnsi="Verdana"/>
          <w:sz w:val="20"/>
          <w:szCs w:val="20"/>
        </w:rPr>
        <w:t>2.5.7</w:t>
      </w:r>
      <w:r w:rsidR="5908D46A" w:rsidRPr="543C6D08">
        <w:rPr>
          <w:rFonts w:ascii="Verdana" w:hAnsi="Verdana"/>
          <w:sz w:val="20"/>
          <w:szCs w:val="20"/>
        </w:rPr>
        <w:t>8</w:t>
      </w:r>
      <w:r w:rsidRPr="543C6D08">
        <w:rPr>
          <w:rFonts w:ascii="Verdana" w:hAnsi="Verdana"/>
          <w:sz w:val="20"/>
          <w:szCs w:val="20"/>
        </w:rPr>
        <w:t>.</w:t>
      </w:r>
    </w:p>
    <w:p w14:paraId="055B90AB" w14:textId="456E8BAE" w:rsidR="009D1CDF" w:rsidRPr="00A52F20" w:rsidRDefault="009D1CDF" w:rsidP="00B93371">
      <w:pPr>
        <w:spacing w:after="0"/>
        <w:jc w:val="both"/>
        <w:rPr>
          <w:rFonts w:ascii="Verdana" w:hAnsi="Verdana"/>
          <w:sz w:val="20"/>
          <w:szCs w:val="20"/>
        </w:rPr>
      </w:pPr>
      <w:r w:rsidRPr="00A52F20">
        <w:rPr>
          <w:rFonts w:ascii="Verdana" w:hAnsi="Verdana"/>
          <w:sz w:val="20"/>
          <w:szCs w:val="20"/>
          <w:lang w:val="es-MX"/>
        </w:rPr>
        <w:t xml:space="preserve">El factor de riesgo aplicable a cada moneda se debe calcular como el percentil 5 de las variaciones observadas en la respectiva tasa de cambio, para un horizonte de tenencia </w:t>
      </w:r>
      <w:r w:rsidRPr="00A52F20">
        <w:rPr>
          <w:rFonts w:ascii="Verdana" w:hAnsi="Verdana"/>
          <w:sz w:val="20"/>
          <w:szCs w:val="20"/>
          <w:lang w:val="es-MX"/>
        </w:rPr>
        <w:lastRenderedPageBreak/>
        <w:t>de 20 días hábiles de negociación, en el índice representativo de dicho mercado. Para esta estimación la entidad debe utilizar un periodo correspondiente a los últimos 5 años de historia, y deberá ser actualizado de forma que la última observación utilizada en el cálculo se encuentre en los 3 meses anteriores a la fecha del cálculo de la exposición a los riesgos de mercado a que hace referencia el presente numeral.</w:t>
      </w:r>
    </w:p>
    <w:p w14:paraId="24C9AA6B" w14:textId="77777777" w:rsidR="009D1CDF" w:rsidRDefault="009D1CDF" w:rsidP="009D1CDF">
      <w:pPr>
        <w:spacing w:after="0"/>
        <w:jc w:val="both"/>
        <w:rPr>
          <w:rFonts w:ascii="Verdana" w:hAnsi="Verdana"/>
          <w:b/>
          <w:sz w:val="20"/>
          <w:szCs w:val="20"/>
        </w:rPr>
      </w:pPr>
    </w:p>
    <w:p w14:paraId="023F670C" w14:textId="5560E464" w:rsidR="00A52F20" w:rsidRPr="00A52F20" w:rsidRDefault="00A52F20" w:rsidP="00A52F20">
      <w:pPr>
        <w:pStyle w:val="Prrafodelista"/>
        <w:numPr>
          <w:ilvl w:val="0"/>
          <w:numId w:val="30"/>
        </w:numPr>
        <w:spacing w:after="0"/>
        <w:ind w:left="1134" w:hanging="283"/>
        <w:jc w:val="both"/>
        <w:rPr>
          <w:rFonts w:ascii="Verdana" w:hAnsi="Verdana"/>
          <w:b/>
          <w:bCs/>
          <w:sz w:val="20"/>
          <w:szCs w:val="20"/>
        </w:rPr>
      </w:pPr>
      <w:r w:rsidRPr="00A52F20">
        <w:rPr>
          <w:rFonts w:ascii="Verdana" w:hAnsi="Verdana"/>
          <w:b/>
          <w:bCs/>
          <w:sz w:val="20"/>
          <w:szCs w:val="20"/>
        </w:rPr>
        <w:t>Riesgo de precio de acciones</w:t>
      </w:r>
    </w:p>
    <w:p w14:paraId="27D3E332" w14:textId="77777777" w:rsidR="00A52F20" w:rsidRDefault="00A52F20" w:rsidP="00A52F20">
      <w:pPr>
        <w:spacing w:after="0"/>
        <w:jc w:val="both"/>
        <w:rPr>
          <w:rFonts w:ascii="Verdana" w:hAnsi="Verdana"/>
          <w:sz w:val="20"/>
          <w:szCs w:val="20"/>
          <w:lang w:val="es-MX"/>
        </w:rPr>
      </w:pPr>
    </w:p>
    <w:p w14:paraId="6E8409F2" w14:textId="2169BC44" w:rsidR="00F56B9B" w:rsidRDefault="00F56B9B" w:rsidP="00F56B9B">
      <w:pPr>
        <w:spacing w:after="0"/>
        <w:jc w:val="both"/>
        <w:rPr>
          <w:rFonts w:ascii="Verdana" w:hAnsi="Verdana"/>
          <w:sz w:val="20"/>
          <w:szCs w:val="20"/>
        </w:rPr>
      </w:pPr>
      <w:r w:rsidRPr="543C6D08">
        <w:rPr>
          <w:rFonts w:ascii="Verdana" w:hAnsi="Verdana"/>
          <w:sz w:val="20"/>
          <w:szCs w:val="20"/>
        </w:rPr>
        <w:t>2.5.7</w:t>
      </w:r>
      <w:r w:rsidR="3A21F016" w:rsidRPr="543C6D08">
        <w:rPr>
          <w:rFonts w:ascii="Verdana" w:hAnsi="Verdana"/>
          <w:sz w:val="20"/>
          <w:szCs w:val="20"/>
        </w:rPr>
        <w:t>9</w:t>
      </w:r>
      <w:r w:rsidRPr="543C6D08">
        <w:rPr>
          <w:rFonts w:ascii="Verdana" w:hAnsi="Verdana"/>
          <w:sz w:val="20"/>
          <w:szCs w:val="20"/>
        </w:rPr>
        <w:t>.</w:t>
      </w:r>
    </w:p>
    <w:p w14:paraId="47CE8F3E" w14:textId="12127876" w:rsidR="008001C9" w:rsidRPr="00A52F20" w:rsidRDefault="009D1CDF" w:rsidP="00F56B9B">
      <w:pPr>
        <w:spacing w:after="0"/>
        <w:jc w:val="both"/>
        <w:rPr>
          <w:rFonts w:ascii="Verdana" w:hAnsi="Verdana"/>
          <w:sz w:val="20"/>
          <w:szCs w:val="20"/>
          <w:lang w:val="es-MX"/>
        </w:rPr>
      </w:pPr>
      <w:r w:rsidRPr="00A52F20">
        <w:rPr>
          <w:rFonts w:ascii="Verdana" w:hAnsi="Verdana"/>
          <w:sz w:val="20"/>
          <w:szCs w:val="20"/>
          <w:lang w:val="es-MX"/>
        </w:rPr>
        <w:t>El factor de riesgo aplicable al mercado local de acciones del país donde se encuentra domiciliada la entidad debe ser calculado como el percentil 5 de las variaciones observadas, para un horizonte de tenencia de 20 días hábiles de negociación. Para esta estimación la entidad debe utilizar un periodo correspondiente a los últimos 5 años de historia, y deberá ser actualizado de forma que la última observación utilizada en el cálculo se encuentre en los 3 meses anteriores a la fecha del cálculo de la exposición a los riesgos de mercado a que hace referencia el presente numeral.</w:t>
      </w:r>
    </w:p>
    <w:p w14:paraId="194D3669" w14:textId="77777777" w:rsidR="00A52F20" w:rsidRDefault="00A52F20" w:rsidP="00A52F20">
      <w:pPr>
        <w:spacing w:after="0"/>
        <w:jc w:val="both"/>
        <w:rPr>
          <w:rFonts w:ascii="Verdana" w:hAnsi="Verdana"/>
          <w:sz w:val="20"/>
          <w:szCs w:val="20"/>
          <w:lang w:val="es-MX"/>
        </w:rPr>
      </w:pPr>
    </w:p>
    <w:p w14:paraId="69A40A9A" w14:textId="74DCFF58" w:rsidR="00F56B9B" w:rsidRDefault="00F56B9B" w:rsidP="00F56B9B">
      <w:pPr>
        <w:spacing w:after="0"/>
        <w:jc w:val="both"/>
        <w:rPr>
          <w:rFonts w:ascii="Verdana" w:hAnsi="Verdana"/>
          <w:sz w:val="20"/>
          <w:szCs w:val="20"/>
        </w:rPr>
      </w:pPr>
      <w:r w:rsidRPr="543C6D08">
        <w:rPr>
          <w:rFonts w:ascii="Verdana" w:hAnsi="Verdana"/>
          <w:sz w:val="20"/>
          <w:szCs w:val="20"/>
        </w:rPr>
        <w:t>2.5.</w:t>
      </w:r>
      <w:r w:rsidR="240B3F5B" w:rsidRPr="543C6D08">
        <w:rPr>
          <w:rFonts w:ascii="Verdana" w:hAnsi="Verdana"/>
          <w:sz w:val="20"/>
          <w:szCs w:val="20"/>
        </w:rPr>
        <w:t>80</w:t>
      </w:r>
      <w:r w:rsidRPr="543C6D08">
        <w:rPr>
          <w:rFonts w:ascii="Verdana" w:hAnsi="Verdana"/>
          <w:sz w:val="20"/>
          <w:szCs w:val="20"/>
        </w:rPr>
        <w:t>.</w:t>
      </w:r>
    </w:p>
    <w:p w14:paraId="4528780A" w14:textId="2E43A79D" w:rsidR="009D1CDF" w:rsidRPr="00A52F20" w:rsidRDefault="009D1CDF" w:rsidP="00F56B9B">
      <w:pPr>
        <w:spacing w:after="0"/>
        <w:jc w:val="both"/>
        <w:rPr>
          <w:rFonts w:ascii="Verdana" w:hAnsi="Verdana"/>
          <w:sz w:val="20"/>
          <w:szCs w:val="20"/>
          <w:lang w:val="es-MX"/>
        </w:rPr>
      </w:pPr>
      <w:r w:rsidRPr="00A52F20">
        <w:rPr>
          <w:rFonts w:ascii="Verdana" w:hAnsi="Verdana"/>
          <w:sz w:val="20"/>
          <w:szCs w:val="20"/>
          <w:lang w:val="es-MX"/>
        </w:rPr>
        <w:t>Para los casos en que la entidad tenga posiciones en más de un mercado accionario, el componente de riesgo general debe ser calculado separadamente para cada mercado siguiendo la misma metodología.</w:t>
      </w:r>
    </w:p>
    <w:p w14:paraId="3C91FC30" w14:textId="77777777" w:rsidR="009D1CDF" w:rsidRPr="00507671" w:rsidRDefault="009D1CDF" w:rsidP="009D1CDF">
      <w:pPr>
        <w:spacing w:after="0"/>
        <w:jc w:val="both"/>
        <w:rPr>
          <w:rFonts w:ascii="Verdana" w:hAnsi="Verdana"/>
          <w:b/>
          <w:sz w:val="20"/>
          <w:szCs w:val="20"/>
        </w:rPr>
      </w:pPr>
    </w:p>
    <w:p w14:paraId="0C1F29EB" w14:textId="76519FEC" w:rsidR="00A52F20" w:rsidRPr="00A52F20" w:rsidRDefault="009D1CDF" w:rsidP="00A52F20">
      <w:pPr>
        <w:pStyle w:val="Prrafodelista"/>
        <w:numPr>
          <w:ilvl w:val="0"/>
          <w:numId w:val="30"/>
        </w:numPr>
        <w:spacing w:after="0"/>
        <w:ind w:left="1134" w:hanging="283"/>
        <w:jc w:val="both"/>
        <w:rPr>
          <w:rFonts w:ascii="Verdana" w:hAnsi="Verdana"/>
          <w:b/>
          <w:bCs/>
          <w:sz w:val="20"/>
          <w:szCs w:val="20"/>
        </w:rPr>
      </w:pPr>
      <w:r w:rsidRPr="00A52F20">
        <w:rPr>
          <w:rFonts w:ascii="Verdana" w:hAnsi="Verdana"/>
          <w:b/>
          <w:bCs/>
          <w:sz w:val="20"/>
          <w:szCs w:val="20"/>
        </w:rPr>
        <w:t xml:space="preserve">Riesgo de </w:t>
      </w:r>
      <w:r w:rsidR="00B93371">
        <w:rPr>
          <w:rFonts w:ascii="Verdana" w:hAnsi="Verdana"/>
          <w:b/>
          <w:bCs/>
          <w:sz w:val="20"/>
          <w:szCs w:val="20"/>
        </w:rPr>
        <w:t>f</w:t>
      </w:r>
      <w:r w:rsidRPr="00A52F20">
        <w:rPr>
          <w:rFonts w:ascii="Verdana" w:hAnsi="Verdana"/>
          <w:b/>
          <w:bCs/>
          <w:sz w:val="20"/>
          <w:szCs w:val="20"/>
        </w:rPr>
        <w:t xml:space="preserve">ondos de </w:t>
      </w:r>
      <w:r w:rsidR="00B93371">
        <w:rPr>
          <w:rFonts w:ascii="Verdana" w:hAnsi="Verdana"/>
          <w:b/>
          <w:bCs/>
          <w:sz w:val="20"/>
          <w:szCs w:val="20"/>
        </w:rPr>
        <w:t>i</w:t>
      </w:r>
      <w:r w:rsidRPr="00A52F20">
        <w:rPr>
          <w:rFonts w:ascii="Verdana" w:hAnsi="Verdana"/>
          <w:b/>
          <w:bCs/>
          <w:sz w:val="20"/>
          <w:szCs w:val="20"/>
        </w:rPr>
        <w:t xml:space="preserve">nversión </w:t>
      </w:r>
      <w:r w:rsidR="00B93371">
        <w:rPr>
          <w:rFonts w:ascii="Verdana" w:hAnsi="Verdana"/>
          <w:b/>
          <w:bCs/>
          <w:sz w:val="20"/>
          <w:szCs w:val="20"/>
        </w:rPr>
        <w:t>c</w:t>
      </w:r>
      <w:r w:rsidRPr="00A52F20">
        <w:rPr>
          <w:rFonts w:ascii="Verdana" w:hAnsi="Verdana"/>
          <w:b/>
          <w:bCs/>
          <w:sz w:val="20"/>
          <w:szCs w:val="20"/>
        </w:rPr>
        <w:t>olectiva (FIC)</w:t>
      </w:r>
    </w:p>
    <w:p w14:paraId="360A7E20" w14:textId="77777777" w:rsidR="00A52F20" w:rsidRDefault="00A52F20" w:rsidP="00A52F20">
      <w:pPr>
        <w:spacing w:after="0"/>
        <w:jc w:val="both"/>
        <w:rPr>
          <w:rFonts w:ascii="Verdana" w:hAnsi="Verdana"/>
          <w:sz w:val="20"/>
          <w:szCs w:val="20"/>
        </w:rPr>
      </w:pPr>
    </w:p>
    <w:p w14:paraId="14A61A79" w14:textId="21BB25FF" w:rsidR="00634FDA" w:rsidRDefault="00634FDA" w:rsidP="00634FDA">
      <w:pPr>
        <w:spacing w:after="0"/>
        <w:jc w:val="both"/>
        <w:rPr>
          <w:rFonts w:ascii="Verdana" w:hAnsi="Verdana"/>
          <w:sz w:val="20"/>
          <w:szCs w:val="20"/>
        </w:rPr>
      </w:pPr>
      <w:r w:rsidRPr="543C6D08">
        <w:rPr>
          <w:rFonts w:ascii="Verdana" w:hAnsi="Verdana"/>
          <w:sz w:val="20"/>
          <w:szCs w:val="20"/>
        </w:rPr>
        <w:t>2.5.</w:t>
      </w:r>
      <w:r w:rsidR="27C01C4D" w:rsidRPr="543C6D08">
        <w:rPr>
          <w:rFonts w:ascii="Verdana" w:hAnsi="Verdana"/>
          <w:sz w:val="20"/>
          <w:szCs w:val="20"/>
        </w:rPr>
        <w:t>81</w:t>
      </w:r>
      <w:r w:rsidRPr="543C6D08">
        <w:rPr>
          <w:rFonts w:ascii="Verdana" w:hAnsi="Verdana"/>
          <w:sz w:val="20"/>
          <w:szCs w:val="20"/>
        </w:rPr>
        <w:t>.</w:t>
      </w:r>
    </w:p>
    <w:p w14:paraId="47848E23" w14:textId="23440A3A" w:rsidR="009D1CDF" w:rsidRPr="00A52F20" w:rsidRDefault="009D1CDF" w:rsidP="00634FDA">
      <w:pPr>
        <w:spacing w:after="0"/>
        <w:jc w:val="both"/>
        <w:rPr>
          <w:rFonts w:ascii="Verdana" w:hAnsi="Verdana"/>
          <w:sz w:val="20"/>
          <w:szCs w:val="20"/>
          <w:lang w:val="es-ES_tradnl"/>
        </w:rPr>
      </w:pPr>
      <w:r w:rsidRPr="00A52F20">
        <w:rPr>
          <w:rFonts w:ascii="Verdana" w:hAnsi="Verdana"/>
          <w:sz w:val="20"/>
          <w:szCs w:val="20"/>
          <w:lang w:val="es-MX"/>
        </w:rPr>
        <w:t>Para las inversiones en FIC, es decir, para fondos comunes de inversión, fondos de valores y fondos de inversión, la exposición al riesgo de mercado de las entidades se debe calcular como el producto entre el factor de riesgo aplicable al fondo y la posición invertida en este. El factor de riesgo aplicable se debe determinar considerando las siguientes instrucciones:</w:t>
      </w:r>
    </w:p>
    <w:p w14:paraId="434DA03E" w14:textId="77777777" w:rsidR="009D1CDF" w:rsidRPr="00507671" w:rsidRDefault="009D1CDF" w:rsidP="009D1CDF">
      <w:pPr>
        <w:spacing w:after="0"/>
        <w:jc w:val="both"/>
        <w:rPr>
          <w:rFonts w:ascii="Verdana" w:hAnsi="Verdana"/>
          <w:b/>
          <w:sz w:val="20"/>
          <w:szCs w:val="20"/>
        </w:rPr>
      </w:pPr>
    </w:p>
    <w:p w14:paraId="00B5B840" w14:textId="43B1F621" w:rsidR="00E61C78" w:rsidRDefault="00E61C78" w:rsidP="00E61C78">
      <w:pPr>
        <w:spacing w:after="0"/>
        <w:jc w:val="both"/>
        <w:rPr>
          <w:rFonts w:ascii="Verdana" w:hAnsi="Verdana"/>
          <w:sz w:val="20"/>
          <w:szCs w:val="20"/>
        </w:rPr>
      </w:pPr>
      <w:r w:rsidRPr="543C6D08">
        <w:rPr>
          <w:rFonts w:ascii="Verdana" w:hAnsi="Verdana"/>
          <w:sz w:val="20"/>
          <w:szCs w:val="20"/>
        </w:rPr>
        <w:t>2.5.</w:t>
      </w:r>
      <w:r w:rsidR="0C66D2A7" w:rsidRPr="543C6D08">
        <w:rPr>
          <w:rFonts w:ascii="Verdana" w:hAnsi="Verdana"/>
          <w:sz w:val="20"/>
          <w:szCs w:val="20"/>
        </w:rPr>
        <w:t>82</w:t>
      </w:r>
      <w:r w:rsidRPr="543C6D08">
        <w:rPr>
          <w:rFonts w:ascii="Verdana" w:hAnsi="Verdana"/>
          <w:sz w:val="20"/>
          <w:szCs w:val="20"/>
        </w:rPr>
        <w:t>.</w:t>
      </w:r>
    </w:p>
    <w:p w14:paraId="140947F6" w14:textId="77777777" w:rsidR="009D1CDF" w:rsidRPr="00507671" w:rsidRDefault="009D1CDF" w:rsidP="009D1CDF">
      <w:pPr>
        <w:spacing w:after="0"/>
        <w:jc w:val="both"/>
        <w:rPr>
          <w:rFonts w:ascii="Verdana" w:hAnsi="Verdana"/>
          <w:sz w:val="20"/>
          <w:szCs w:val="20"/>
          <w:lang w:val="es-MX"/>
        </w:rPr>
      </w:pPr>
      <w:r w:rsidRPr="00507671">
        <w:rPr>
          <w:rFonts w:ascii="Verdana" w:hAnsi="Verdana"/>
          <w:sz w:val="20"/>
          <w:szCs w:val="20"/>
          <w:lang w:val="es-MX"/>
        </w:rPr>
        <w:t xml:space="preserve">Cuando la sociedad administradora del fondo le reporte a la entidad adherente o suscriptora la composición del portafolio de inversión, la exposición al riesgo de mercado deberá ser calculada por la entidad adherente de acuerdo con las disposiciones impartidas en los </w:t>
      </w:r>
      <w:proofErr w:type="spellStart"/>
      <w:r w:rsidRPr="00507671">
        <w:rPr>
          <w:rFonts w:ascii="Verdana" w:hAnsi="Verdana"/>
          <w:sz w:val="20"/>
          <w:szCs w:val="20"/>
          <w:lang w:val="es-MX"/>
        </w:rPr>
        <w:t>subnumerales</w:t>
      </w:r>
      <w:proofErr w:type="spellEnd"/>
      <w:r w:rsidRPr="00507671">
        <w:rPr>
          <w:rFonts w:ascii="Verdana" w:hAnsi="Verdana"/>
          <w:sz w:val="20"/>
          <w:szCs w:val="20"/>
          <w:lang w:val="es-MX"/>
        </w:rPr>
        <w:t xml:space="preserve"> anteriores para cada uno de los módulos de riesgo, esto es, riesgo de tasa de interés, tasa de cambio y precio de acciones.</w:t>
      </w:r>
    </w:p>
    <w:p w14:paraId="431A6F40" w14:textId="77777777" w:rsidR="009D1CDF" w:rsidRPr="00507671" w:rsidRDefault="009D1CDF" w:rsidP="009D1CDF">
      <w:pPr>
        <w:spacing w:after="0"/>
        <w:jc w:val="both"/>
        <w:rPr>
          <w:rFonts w:ascii="Verdana" w:hAnsi="Verdana"/>
          <w:sz w:val="20"/>
          <w:szCs w:val="20"/>
          <w:lang w:val="es-MX"/>
        </w:rPr>
      </w:pPr>
    </w:p>
    <w:p w14:paraId="4AF625CA" w14:textId="121616E9" w:rsidR="00E61C78" w:rsidRDefault="00E61C78" w:rsidP="00E61C78">
      <w:pPr>
        <w:spacing w:after="0"/>
        <w:jc w:val="both"/>
        <w:rPr>
          <w:rFonts w:ascii="Verdana" w:hAnsi="Verdana"/>
          <w:sz w:val="20"/>
          <w:szCs w:val="20"/>
        </w:rPr>
      </w:pPr>
      <w:r w:rsidRPr="543C6D08">
        <w:rPr>
          <w:rFonts w:ascii="Verdana" w:hAnsi="Verdana"/>
          <w:sz w:val="20"/>
          <w:szCs w:val="20"/>
        </w:rPr>
        <w:t>2.5.</w:t>
      </w:r>
      <w:r w:rsidR="5E0A7DD7" w:rsidRPr="543C6D08">
        <w:rPr>
          <w:rFonts w:ascii="Verdana" w:hAnsi="Verdana"/>
          <w:sz w:val="20"/>
          <w:szCs w:val="20"/>
        </w:rPr>
        <w:t>83</w:t>
      </w:r>
      <w:r w:rsidRPr="543C6D08">
        <w:rPr>
          <w:rFonts w:ascii="Verdana" w:hAnsi="Verdana"/>
          <w:sz w:val="20"/>
          <w:szCs w:val="20"/>
        </w:rPr>
        <w:t>.</w:t>
      </w:r>
    </w:p>
    <w:p w14:paraId="682ABDA5" w14:textId="77777777" w:rsidR="009D1CDF" w:rsidRPr="00507671" w:rsidRDefault="009D1CDF" w:rsidP="009D1CDF">
      <w:pPr>
        <w:spacing w:after="0"/>
        <w:jc w:val="both"/>
        <w:rPr>
          <w:rFonts w:ascii="Verdana" w:hAnsi="Verdana"/>
          <w:sz w:val="20"/>
          <w:szCs w:val="20"/>
          <w:lang w:val="es-MX"/>
        </w:rPr>
      </w:pPr>
      <w:r w:rsidRPr="00507671">
        <w:rPr>
          <w:rFonts w:ascii="Verdana" w:hAnsi="Verdana"/>
          <w:sz w:val="20"/>
          <w:szCs w:val="20"/>
          <w:lang w:val="es-MX"/>
        </w:rPr>
        <w:t>El factor de riesgo del FIC corresponderá a la razón entre esta exposición y el valor del portafolio en la correspondiente fecha de cálculo. Sin perjuicio de lo anterior, este factor de riesgo puede ser utilizado para el cálculo de la exposición al riesgo de mercado de la entidad adherente o suscriptora por un periodo de hasta treinta días, contados a partir de la última fecha de cálculo.</w:t>
      </w:r>
    </w:p>
    <w:p w14:paraId="4ABA4326" w14:textId="77777777" w:rsidR="009D1CDF" w:rsidRPr="00507671" w:rsidRDefault="009D1CDF" w:rsidP="009D1CDF">
      <w:pPr>
        <w:spacing w:after="0"/>
        <w:jc w:val="both"/>
        <w:rPr>
          <w:rFonts w:ascii="Verdana" w:hAnsi="Verdana"/>
          <w:sz w:val="20"/>
          <w:szCs w:val="20"/>
          <w:lang w:val="es-MX"/>
        </w:rPr>
      </w:pPr>
    </w:p>
    <w:p w14:paraId="774B9745" w14:textId="57093B08" w:rsidR="00E61C78" w:rsidRDefault="00E61C78" w:rsidP="00E61C78">
      <w:pPr>
        <w:spacing w:after="0"/>
        <w:jc w:val="both"/>
        <w:rPr>
          <w:rFonts w:ascii="Verdana" w:hAnsi="Verdana"/>
          <w:sz w:val="20"/>
          <w:szCs w:val="20"/>
        </w:rPr>
      </w:pPr>
      <w:r w:rsidRPr="543C6D08">
        <w:rPr>
          <w:rFonts w:ascii="Verdana" w:hAnsi="Verdana"/>
          <w:sz w:val="20"/>
          <w:szCs w:val="20"/>
        </w:rPr>
        <w:t>2.5.</w:t>
      </w:r>
      <w:r w:rsidR="455F535B" w:rsidRPr="543C6D08">
        <w:rPr>
          <w:rFonts w:ascii="Verdana" w:hAnsi="Verdana"/>
          <w:sz w:val="20"/>
          <w:szCs w:val="20"/>
        </w:rPr>
        <w:t>84</w:t>
      </w:r>
      <w:r w:rsidRPr="543C6D08">
        <w:rPr>
          <w:rFonts w:ascii="Verdana" w:hAnsi="Verdana"/>
          <w:sz w:val="20"/>
          <w:szCs w:val="20"/>
        </w:rPr>
        <w:t>.</w:t>
      </w:r>
    </w:p>
    <w:p w14:paraId="66AEEB55" w14:textId="77777777" w:rsidR="009D1CDF" w:rsidRPr="00507671" w:rsidRDefault="009D1CDF" w:rsidP="009D1CDF">
      <w:pPr>
        <w:spacing w:after="0"/>
        <w:jc w:val="both"/>
        <w:rPr>
          <w:rFonts w:ascii="Verdana" w:hAnsi="Verdana"/>
          <w:b/>
          <w:sz w:val="20"/>
          <w:szCs w:val="20"/>
          <w:lang w:val="es-MX"/>
        </w:rPr>
      </w:pPr>
      <w:r w:rsidRPr="00507671">
        <w:rPr>
          <w:rFonts w:ascii="Verdana" w:hAnsi="Verdana"/>
          <w:sz w:val="20"/>
          <w:szCs w:val="20"/>
          <w:lang w:val="es-ES"/>
        </w:rPr>
        <w:t>En los demás casos, el factor de riesgo aplicable debe ser igual al establecido para el riesgo general de precio de acciones.</w:t>
      </w:r>
    </w:p>
    <w:p w14:paraId="5F87169C" w14:textId="77777777" w:rsidR="009D1CDF" w:rsidRPr="00507671" w:rsidRDefault="009D1CDF" w:rsidP="009D1CDF">
      <w:pPr>
        <w:spacing w:after="0"/>
        <w:jc w:val="both"/>
        <w:rPr>
          <w:rFonts w:ascii="Verdana" w:hAnsi="Verdana"/>
          <w:b/>
          <w:sz w:val="20"/>
          <w:szCs w:val="20"/>
        </w:rPr>
      </w:pPr>
    </w:p>
    <w:p w14:paraId="5C7B4CBD" w14:textId="6895D483" w:rsidR="009D1CDF" w:rsidRPr="008001C9" w:rsidRDefault="009D1CDF" w:rsidP="00B93371">
      <w:pPr>
        <w:pStyle w:val="Prrafodelista"/>
        <w:numPr>
          <w:ilvl w:val="0"/>
          <w:numId w:val="30"/>
        </w:numPr>
        <w:spacing w:after="0"/>
        <w:ind w:left="851" w:hanging="284"/>
        <w:jc w:val="both"/>
        <w:rPr>
          <w:rFonts w:ascii="Verdana" w:hAnsi="Verdana"/>
          <w:b/>
          <w:sz w:val="20"/>
          <w:szCs w:val="20"/>
        </w:rPr>
      </w:pPr>
      <w:r w:rsidRPr="008001C9">
        <w:rPr>
          <w:rFonts w:ascii="Verdana" w:hAnsi="Verdana"/>
          <w:b/>
          <w:sz w:val="20"/>
          <w:szCs w:val="20"/>
        </w:rPr>
        <w:t>Entidades de seguros habilitadas bajo una única licencia (generales y vida)</w:t>
      </w:r>
    </w:p>
    <w:p w14:paraId="013BE859" w14:textId="77777777" w:rsidR="009D1CDF" w:rsidRPr="00507671" w:rsidRDefault="009D1CDF" w:rsidP="009D1CDF">
      <w:pPr>
        <w:spacing w:after="0"/>
        <w:jc w:val="both"/>
        <w:rPr>
          <w:rFonts w:ascii="Verdana" w:hAnsi="Verdana"/>
          <w:sz w:val="20"/>
          <w:szCs w:val="20"/>
        </w:rPr>
      </w:pPr>
    </w:p>
    <w:p w14:paraId="4BF604FB" w14:textId="03152083" w:rsidR="00E61C78" w:rsidRDefault="00E61C78" w:rsidP="00E61C78">
      <w:pPr>
        <w:spacing w:after="0"/>
        <w:jc w:val="both"/>
        <w:rPr>
          <w:rFonts w:ascii="Verdana" w:hAnsi="Verdana"/>
          <w:sz w:val="20"/>
          <w:szCs w:val="20"/>
        </w:rPr>
      </w:pPr>
      <w:r w:rsidRPr="543C6D08">
        <w:rPr>
          <w:rFonts w:ascii="Verdana" w:hAnsi="Verdana"/>
          <w:sz w:val="20"/>
          <w:szCs w:val="20"/>
        </w:rPr>
        <w:t>2.5.</w:t>
      </w:r>
      <w:r w:rsidR="078C2B63" w:rsidRPr="543C6D08">
        <w:rPr>
          <w:rFonts w:ascii="Verdana" w:hAnsi="Verdana"/>
          <w:sz w:val="20"/>
          <w:szCs w:val="20"/>
        </w:rPr>
        <w:t>85</w:t>
      </w:r>
      <w:r w:rsidRPr="543C6D08">
        <w:rPr>
          <w:rFonts w:ascii="Verdana" w:hAnsi="Verdana"/>
          <w:sz w:val="20"/>
          <w:szCs w:val="20"/>
        </w:rPr>
        <w:t>.</w:t>
      </w:r>
    </w:p>
    <w:p w14:paraId="724D5135" w14:textId="07F0A9F2" w:rsidR="009D1CDF" w:rsidRPr="00507671" w:rsidRDefault="009D1CDF" w:rsidP="009D1CDF">
      <w:pPr>
        <w:spacing w:after="0"/>
        <w:jc w:val="both"/>
        <w:rPr>
          <w:rFonts w:ascii="Verdana" w:hAnsi="Verdana"/>
          <w:sz w:val="20"/>
          <w:szCs w:val="20"/>
        </w:rPr>
      </w:pPr>
      <w:r w:rsidRPr="00507671">
        <w:rPr>
          <w:rFonts w:ascii="Verdana" w:hAnsi="Verdana"/>
          <w:sz w:val="20"/>
          <w:szCs w:val="20"/>
        </w:rPr>
        <w:t>Para las entidades aseguradoras del exterior que, por autorización expresa del regulador o supervisor del país de domicilio, les esté permitido efectuar operaciones de seguros de vida y seguros generales bajo una única licencia, les serán aplicables las instrucciones previstas para las entidades de seguros generales</w:t>
      </w:r>
      <w:r w:rsidR="00BA7A1E">
        <w:rPr>
          <w:rFonts w:ascii="Verdana" w:hAnsi="Verdana"/>
          <w:sz w:val="20"/>
          <w:szCs w:val="20"/>
        </w:rPr>
        <w:t xml:space="preserve"> </w:t>
      </w:r>
      <w:r w:rsidR="00CE1C02" w:rsidRPr="00020EE1">
        <w:rPr>
          <w:rFonts w:ascii="Verdana" w:hAnsi="Verdana"/>
          <w:sz w:val="20"/>
          <w:szCs w:val="20"/>
        </w:rPr>
        <w:t>en</w:t>
      </w:r>
      <w:r w:rsidR="00CE1C02">
        <w:rPr>
          <w:rFonts w:ascii="Verdana" w:hAnsi="Verdana"/>
          <w:sz w:val="20"/>
          <w:szCs w:val="20"/>
        </w:rPr>
        <w:t>tre los párrafos 2.5.39. y</w:t>
      </w:r>
      <w:r w:rsidR="00CE1C02" w:rsidDel="00246394">
        <w:rPr>
          <w:rFonts w:ascii="Verdana" w:hAnsi="Verdana"/>
          <w:sz w:val="20"/>
          <w:szCs w:val="20"/>
        </w:rPr>
        <w:t xml:space="preserve"> 2.5.</w:t>
      </w:r>
      <w:r w:rsidR="00CE1C02">
        <w:rPr>
          <w:rFonts w:ascii="Verdana" w:hAnsi="Verdana"/>
          <w:sz w:val="20"/>
          <w:szCs w:val="20"/>
        </w:rPr>
        <w:t>56.</w:t>
      </w:r>
      <w:r w:rsidRPr="00507671">
        <w:rPr>
          <w:rFonts w:ascii="Verdana" w:hAnsi="Verdana"/>
          <w:sz w:val="20"/>
          <w:szCs w:val="20"/>
        </w:rPr>
        <w:t xml:space="preserve"> del presente capítulo.</w:t>
      </w:r>
    </w:p>
    <w:p w14:paraId="57767ECC" w14:textId="77777777" w:rsidR="00CE1C02" w:rsidRPr="00507671" w:rsidRDefault="00CE1C02" w:rsidP="009D1CDF">
      <w:pPr>
        <w:spacing w:after="0"/>
        <w:jc w:val="both"/>
        <w:rPr>
          <w:rFonts w:ascii="Verdana" w:hAnsi="Verdana"/>
          <w:b/>
          <w:sz w:val="20"/>
          <w:szCs w:val="20"/>
        </w:rPr>
      </w:pPr>
    </w:p>
    <w:p w14:paraId="4C2D57D0" w14:textId="00EB2621" w:rsidR="009D1CDF" w:rsidRPr="00087593" w:rsidRDefault="00087593" w:rsidP="00087593">
      <w:pPr>
        <w:pStyle w:val="Prrafodelista"/>
        <w:numPr>
          <w:ilvl w:val="0"/>
          <w:numId w:val="21"/>
        </w:numPr>
        <w:spacing w:after="0"/>
        <w:ind w:left="567" w:hanging="283"/>
        <w:jc w:val="both"/>
        <w:rPr>
          <w:rFonts w:ascii="Verdana" w:hAnsi="Verdana"/>
          <w:b/>
          <w:sz w:val="20"/>
          <w:szCs w:val="20"/>
        </w:rPr>
      </w:pPr>
      <w:r w:rsidRPr="00087593">
        <w:rPr>
          <w:rFonts w:ascii="Verdana" w:hAnsi="Verdana"/>
          <w:b/>
          <w:sz w:val="20"/>
          <w:szCs w:val="20"/>
        </w:rPr>
        <w:t>Riesgo de activo</w:t>
      </w:r>
    </w:p>
    <w:p w14:paraId="028EB71C" w14:textId="77777777" w:rsidR="009D1CDF" w:rsidRPr="00507671" w:rsidRDefault="009D1CDF" w:rsidP="009D1CDF">
      <w:pPr>
        <w:spacing w:after="0"/>
        <w:jc w:val="both"/>
        <w:rPr>
          <w:rFonts w:ascii="Verdana" w:hAnsi="Verdana"/>
          <w:b/>
          <w:sz w:val="20"/>
          <w:szCs w:val="20"/>
        </w:rPr>
      </w:pPr>
    </w:p>
    <w:p w14:paraId="381359E8" w14:textId="59FA7F7A" w:rsidR="009D1CDF" w:rsidRPr="00A158D5" w:rsidRDefault="009D1CDF" w:rsidP="00A158D5">
      <w:pPr>
        <w:pStyle w:val="Prrafodelista"/>
        <w:numPr>
          <w:ilvl w:val="0"/>
          <w:numId w:val="30"/>
        </w:numPr>
        <w:tabs>
          <w:tab w:val="left" w:pos="1134"/>
        </w:tabs>
        <w:spacing w:after="0"/>
        <w:ind w:left="851" w:hanging="284"/>
        <w:jc w:val="both"/>
        <w:rPr>
          <w:rFonts w:ascii="Verdana" w:hAnsi="Verdana"/>
          <w:b/>
          <w:sz w:val="20"/>
          <w:szCs w:val="20"/>
        </w:rPr>
      </w:pPr>
      <w:r w:rsidRPr="00A158D5">
        <w:rPr>
          <w:rFonts w:ascii="Verdana" w:hAnsi="Verdana"/>
          <w:b/>
          <w:sz w:val="20"/>
          <w:szCs w:val="20"/>
        </w:rPr>
        <w:t>Entidades de seguros generales, entidades de seguros de vida y entidades de seguros habilitadas bajo una única licencia (generales y vida)</w:t>
      </w:r>
    </w:p>
    <w:p w14:paraId="596CDD9E" w14:textId="77777777" w:rsidR="009D1CDF" w:rsidRPr="00507671" w:rsidRDefault="009D1CDF" w:rsidP="009D1CDF">
      <w:pPr>
        <w:spacing w:after="0"/>
        <w:jc w:val="both"/>
        <w:rPr>
          <w:rFonts w:ascii="Verdana" w:hAnsi="Verdana"/>
          <w:sz w:val="20"/>
          <w:szCs w:val="20"/>
        </w:rPr>
      </w:pPr>
    </w:p>
    <w:p w14:paraId="6DBE6F39" w14:textId="6596D2C4" w:rsidR="00E61C78" w:rsidRDefault="00E61C78" w:rsidP="00E61C78">
      <w:pPr>
        <w:spacing w:after="0"/>
        <w:jc w:val="both"/>
        <w:rPr>
          <w:rFonts w:ascii="Verdana" w:hAnsi="Verdana"/>
          <w:sz w:val="20"/>
          <w:szCs w:val="20"/>
        </w:rPr>
      </w:pPr>
      <w:r w:rsidRPr="17FBBDE5">
        <w:rPr>
          <w:rFonts w:ascii="Verdana" w:hAnsi="Verdana"/>
          <w:sz w:val="20"/>
          <w:szCs w:val="20"/>
        </w:rPr>
        <w:lastRenderedPageBreak/>
        <w:t>2.5.</w:t>
      </w:r>
      <w:r w:rsidR="5D519A80" w:rsidRPr="17FBBDE5">
        <w:rPr>
          <w:rFonts w:ascii="Verdana" w:hAnsi="Verdana"/>
          <w:sz w:val="20"/>
          <w:szCs w:val="20"/>
        </w:rPr>
        <w:t>86</w:t>
      </w:r>
      <w:r w:rsidRPr="17FBBDE5">
        <w:rPr>
          <w:rFonts w:ascii="Verdana" w:hAnsi="Verdana"/>
          <w:sz w:val="20"/>
          <w:szCs w:val="20"/>
        </w:rPr>
        <w:t>.</w:t>
      </w:r>
    </w:p>
    <w:p w14:paraId="407EDA0E"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Para el cálculo del riesgo del activo se deben utilizar las siguientes tablas, teniendo en cuenta: (i) la calificación crediticia soberana de largo plazo del país en donde cada subordinada se encuentra domiciliada, otorgada por una agencia calificadora reconocida internacionalmente, y (</w:t>
      </w:r>
      <w:proofErr w:type="spellStart"/>
      <w:r w:rsidRPr="00507671">
        <w:rPr>
          <w:rFonts w:ascii="Verdana" w:hAnsi="Verdana"/>
          <w:sz w:val="20"/>
          <w:szCs w:val="20"/>
        </w:rPr>
        <w:t>ii</w:t>
      </w:r>
      <w:proofErr w:type="spellEnd"/>
      <w:r w:rsidRPr="00507671">
        <w:rPr>
          <w:rFonts w:ascii="Verdana" w:hAnsi="Verdana"/>
          <w:sz w:val="20"/>
          <w:szCs w:val="20"/>
        </w:rPr>
        <w:t xml:space="preserve">) la homologación de las referencias a: Nación, SFC, Banco de la República, </w:t>
      </w:r>
      <w:proofErr w:type="spellStart"/>
      <w:r w:rsidRPr="00507671">
        <w:rPr>
          <w:rFonts w:ascii="Verdana" w:hAnsi="Verdana"/>
          <w:sz w:val="20"/>
          <w:szCs w:val="20"/>
        </w:rPr>
        <w:t>Fogafin</w:t>
      </w:r>
      <w:proofErr w:type="spellEnd"/>
      <w:r w:rsidRPr="00507671">
        <w:rPr>
          <w:rFonts w:ascii="Verdana" w:hAnsi="Verdana"/>
          <w:sz w:val="20"/>
          <w:szCs w:val="20"/>
        </w:rPr>
        <w:t xml:space="preserve">, </w:t>
      </w:r>
      <w:proofErr w:type="spellStart"/>
      <w:r w:rsidRPr="00507671">
        <w:rPr>
          <w:rFonts w:ascii="Verdana" w:hAnsi="Verdana"/>
          <w:sz w:val="20"/>
          <w:szCs w:val="20"/>
        </w:rPr>
        <w:t>Fogacoop</w:t>
      </w:r>
      <w:proofErr w:type="spellEnd"/>
      <w:r w:rsidRPr="00507671">
        <w:rPr>
          <w:rFonts w:ascii="Verdana" w:hAnsi="Verdana"/>
          <w:sz w:val="20"/>
          <w:szCs w:val="20"/>
        </w:rPr>
        <w:t>, Cámara de Riesgo Central de Contraparte y Registro Nacional de Valores y de Emisores (RNVE) por su equivalente en el país correspondiente.</w:t>
      </w:r>
    </w:p>
    <w:p w14:paraId="5D8014E4" w14:textId="77777777" w:rsidR="009D1CDF" w:rsidRPr="00507671" w:rsidRDefault="009D1CDF" w:rsidP="009D1CDF">
      <w:pPr>
        <w:spacing w:after="0"/>
        <w:jc w:val="both"/>
        <w:rPr>
          <w:rFonts w:ascii="Verdana" w:hAnsi="Verdana"/>
          <w:sz w:val="20"/>
          <w:szCs w:val="20"/>
        </w:rPr>
      </w:pPr>
    </w:p>
    <w:p w14:paraId="63121DA2" w14:textId="03AF3EAD" w:rsidR="00E61C78" w:rsidRDefault="00E61C78" w:rsidP="00E61C78">
      <w:pPr>
        <w:spacing w:after="0"/>
        <w:jc w:val="both"/>
        <w:rPr>
          <w:rFonts w:ascii="Verdana" w:hAnsi="Verdana"/>
          <w:sz w:val="20"/>
          <w:szCs w:val="20"/>
        </w:rPr>
      </w:pPr>
      <w:r w:rsidRPr="17FBBDE5">
        <w:rPr>
          <w:rFonts w:ascii="Verdana" w:hAnsi="Verdana"/>
          <w:sz w:val="20"/>
          <w:szCs w:val="20"/>
        </w:rPr>
        <w:t>2.5.</w:t>
      </w:r>
      <w:r w:rsidR="734584C3" w:rsidRPr="17FBBDE5">
        <w:rPr>
          <w:rFonts w:ascii="Verdana" w:hAnsi="Verdana"/>
          <w:sz w:val="20"/>
          <w:szCs w:val="20"/>
        </w:rPr>
        <w:t>87</w:t>
      </w:r>
      <w:r w:rsidRPr="17FBBDE5">
        <w:rPr>
          <w:rFonts w:ascii="Verdana" w:hAnsi="Verdana"/>
          <w:sz w:val="20"/>
          <w:szCs w:val="20"/>
        </w:rPr>
        <w:t>.</w:t>
      </w:r>
    </w:p>
    <w:p w14:paraId="15AE4573"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Adicionalmente en los casos en que se hace referencia a las calificadoras autorizadas por la SFC, se entenderán como las calificadoras internacionalmente reconocidas.</w:t>
      </w:r>
    </w:p>
    <w:p w14:paraId="59AAFF5A" w14:textId="77777777" w:rsidR="009D1CDF" w:rsidRPr="00507671" w:rsidRDefault="009D1CDF" w:rsidP="009D1CDF">
      <w:pPr>
        <w:spacing w:after="0"/>
        <w:jc w:val="both"/>
        <w:rPr>
          <w:rFonts w:ascii="Verdana" w:hAnsi="Verdana"/>
          <w:sz w:val="20"/>
          <w:szCs w:val="20"/>
        </w:rPr>
      </w:pPr>
    </w:p>
    <w:p w14:paraId="00EE7964" w14:textId="09ECC460" w:rsidR="00E61C78" w:rsidRDefault="00E61C78" w:rsidP="00E61C78">
      <w:pPr>
        <w:spacing w:after="0"/>
        <w:jc w:val="both"/>
        <w:rPr>
          <w:rFonts w:ascii="Verdana" w:hAnsi="Verdana"/>
          <w:sz w:val="20"/>
          <w:szCs w:val="20"/>
        </w:rPr>
      </w:pPr>
      <w:r w:rsidRPr="17FBBDE5">
        <w:rPr>
          <w:rFonts w:ascii="Verdana" w:hAnsi="Verdana"/>
          <w:sz w:val="20"/>
          <w:szCs w:val="20"/>
        </w:rPr>
        <w:t>2.5.</w:t>
      </w:r>
      <w:r w:rsidR="0475FA57" w:rsidRPr="17FBBDE5">
        <w:rPr>
          <w:rFonts w:ascii="Verdana" w:hAnsi="Verdana"/>
          <w:sz w:val="20"/>
          <w:szCs w:val="20"/>
        </w:rPr>
        <w:t>88</w:t>
      </w:r>
      <w:r w:rsidRPr="17FBBDE5">
        <w:rPr>
          <w:rFonts w:ascii="Verdana" w:hAnsi="Verdana"/>
          <w:sz w:val="20"/>
          <w:szCs w:val="20"/>
        </w:rPr>
        <w:t>.</w:t>
      </w:r>
    </w:p>
    <w:p w14:paraId="101310D7"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Para la aplicación de los ponderadores, las entidades deben tener en cuenta la tabla de equivalencias entre códigos de las diferentes agencias calificadoras, publicada por la SFC en su página Web o la equivalente en cada jurisdicción. En los casos en que exista más de una calificación vigente y ponderaciones por riesgos diferentes, se debe utilizar la de mayor riesgo.</w:t>
      </w:r>
    </w:p>
    <w:p w14:paraId="3BDA555E" w14:textId="77777777" w:rsidR="003D69A1" w:rsidRDefault="003D69A1" w:rsidP="003D69A1">
      <w:pPr>
        <w:spacing w:after="0"/>
        <w:rPr>
          <w:rFonts w:ascii="Verdana" w:hAnsi="Verdana"/>
          <w:b/>
          <w:sz w:val="20"/>
          <w:szCs w:val="20"/>
        </w:rPr>
      </w:pPr>
    </w:p>
    <w:p w14:paraId="7D0176C8" w14:textId="1EDA6827" w:rsidR="009D1CDF" w:rsidRDefault="009D1CDF" w:rsidP="003D69A1">
      <w:pPr>
        <w:spacing w:after="0"/>
        <w:rPr>
          <w:rFonts w:ascii="Verdana" w:hAnsi="Verdana"/>
          <w:b/>
          <w:sz w:val="20"/>
          <w:szCs w:val="20"/>
        </w:rPr>
      </w:pPr>
      <w:r w:rsidRPr="00507671">
        <w:rPr>
          <w:rFonts w:ascii="Verdana" w:hAnsi="Verdana"/>
          <w:b/>
          <w:sz w:val="20"/>
          <w:szCs w:val="20"/>
        </w:rPr>
        <w:t>Categoría I</w:t>
      </w:r>
    </w:p>
    <w:tbl>
      <w:tblPr>
        <w:tblW w:w="9460" w:type="dxa"/>
        <w:tblCellMar>
          <w:left w:w="70" w:type="dxa"/>
          <w:right w:w="70" w:type="dxa"/>
        </w:tblCellMar>
        <w:tblLook w:val="04A0" w:firstRow="1" w:lastRow="0" w:firstColumn="1" w:lastColumn="0" w:noHBand="0" w:noVBand="1"/>
      </w:tblPr>
      <w:tblGrid>
        <w:gridCol w:w="5900"/>
        <w:gridCol w:w="880"/>
        <w:gridCol w:w="880"/>
        <w:gridCol w:w="920"/>
        <w:gridCol w:w="880"/>
      </w:tblGrid>
      <w:tr w:rsidR="009D1CDF" w:rsidRPr="00507671" w14:paraId="6528A2C9" w14:textId="77777777">
        <w:trPr>
          <w:trHeight w:val="720"/>
        </w:trPr>
        <w:tc>
          <w:tcPr>
            <w:tcW w:w="590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C36CC5F" w14:textId="77777777" w:rsidR="009D1CDF" w:rsidRPr="00C73F29" w:rsidRDefault="009D1CDF" w:rsidP="00C73F29">
            <w:pPr>
              <w:spacing w:after="0"/>
              <w:jc w:val="center"/>
              <w:rPr>
                <w:rFonts w:ascii="Arial" w:hAnsi="Arial" w:cs="Arial"/>
                <w:b/>
                <w:bCs/>
                <w:sz w:val="16"/>
                <w:szCs w:val="16"/>
              </w:rPr>
            </w:pPr>
            <w:r w:rsidRPr="00C73F29">
              <w:rPr>
                <w:rFonts w:ascii="Arial" w:hAnsi="Arial" w:cs="Arial"/>
                <w:b/>
                <w:bCs/>
                <w:sz w:val="16"/>
                <w:szCs w:val="16"/>
              </w:rPr>
              <w:t>Activos</w:t>
            </w:r>
          </w:p>
        </w:tc>
        <w:tc>
          <w:tcPr>
            <w:tcW w:w="3560" w:type="dxa"/>
            <w:gridSpan w:val="4"/>
            <w:tcBorders>
              <w:top w:val="single" w:sz="4" w:space="0" w:color="auto"/>
              <w:left w:val="nil"/>
              <w:bottom w:val="single" w:sz="4" w:space="0" w:color="auto"/>
              <w:right w:val="single" w:sz="4" w:space="0" w:color="auto"/>
            </w:tcBorders>
            <w:shd w:val="clear" w:color="auto" w:fill="D9D9D9"/>
            <w:vAlign w:val="center"/>
            <w:hideMark/>
          </w:tcPr>
          <w:p w14:paraId="1D4B19C7" w14:textId="77777777" w:rsidR="009D1CDF" w:rsidRPr="00C73F29" w:rsidRDefault="009D1CDF" w:rsidP="00C73F29">
            <w:pPr>
              <w:spacing w:after="0"/>
              <w:jc w:val="center"/>
              <w:rPr>
                <w:rFonts w:ascii="Arial" w:hAnsi="Arial" w:cs="Arial"/>
                <w:b/>
                <w:bCs/>
                <w:sz w:val="16"/>
                <w:szCs w:val="16"/>
              </w:rPr>
            </w:pPr>
            <w:r w:rsidRPr="00C73F29">
              <w:rPr>
                <w:rFonts w:ascii="Arial" w:hAnsi="Arial" w:cs="Arial"/>
                <w:b/>
                <w:bCs/>
                <w:sz w:val="16"/>
                <w:szCs w:val="16"/>
              </w:rPr>
              <w:t>Calificación crediticia soberana de largo plazo</w:t>
            </w:r>
          </w:p>
        </w:tc>
      </w:tr>
      <w:tr w:rsidR="009D1CDF" w:rsidRPr="00507671" w14:paraId="608F8602" w14:textId="77777777">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9DB66" w14:textId="77777777" w:rsidR="009D1CDF" w:rsidRPr="00C73F29" w:rsidRDefault="009D1CDF" w:rsidP="00C73F29">
            <w:pPr>
              <w:spacing w:after="0"/>
              <w:jc w:val="center"/>
              <w:rPr>
                <w:rFonts w:ascii="Arial" w:hAnsi="Arial" w:cs="Arial"/>
                <w:b/>
                <w:bCs/>
                <w:sz w:val="16"/>
                <w:szCs w:val="16"/>
              </w:rPr>
            </w:pPr>
          </w:p>
        </w:tc>
        <w:tc>
          <w:tcPr>
            <w:tcW w:w="880" w:type="dxa"/>
            <w:tcBorders>
              <w:top w:val="single" w:sz="4" w:space="0" w:color="auto"/>
              <w:left w:val="nil"/>
              <w:bottom w:val="single" w:sz="4" w:space="0" w:color="auto"/>
              <w:right w:val="single" w:sz="4" w:space="0" w:color="auto"/>
            </w:tcBorders>
            <w:shd w:val="clear" w:color="auto" w:fill="D9D9D9"/>
            <w:vAlign w:val="center"/>
            <w:hideMark/>
          </w:tcPr>
          <w:p w14:paraId="2662C4DA" w14:textId="77777777" w:rsidR="009D1CDF" w:rsidRPr="00C73F29" w:rsidRDefault="009D1CDF" w:rsidP="00C73F29">
            <w:pPr>
              <w:spacing w:after="0"/>
              <w:jc w:val="center"/>
              <w:rPr>
                <w:rFonts w:ascii="Arial" w:hAnsi="Arial" w:cs="Arial"/>
                <w:b/>
                <w:bCs/>
                <w:sz w:val="16"/>
                <w:szCs w:val="16"/>
              </w:rPr>
            </w:pPr>
            <w:r w:rsidRPr="00C73F29">
              <w:rPr>
                <w:rFonts w:ascii="Arial" w:hAnsi="Arial" w:cs="Arial"/>
                <w:b/>
                <w:bCs/>
                <w:sz w:val="16"/>
                <w:szCs w:val="16"/>
              </w:rPr>
              <w:t>AAA hasta BBB-</w:t>
            </w:r>
          </w:p>
        </w:tc>
        <w:tc>
          <w:tcPr>
            <w:tcW w:w="880" w:type="dxa"/>
            <w:tcBorders>
              <w:top w:val="single" w:sz="4" w:space="0" w:color="auto"/>
              <w:left w:val="nil"/>
              <w:bottom w:val="single" w:sz="4" w:space="0" w:color="auto"/>
              <w:right w:val="single" w:sz="4" w:space="0" w:color="auto"/>
            </w:tcBorders>
            <w:shd w:val="clear" w:color="auto" w:fill="D9D9D9"/>
            <w:vAlign w:val="center"/>
            <w:hideMark/>
          </w:tcPr>
          <w:p w14:paraId="3626AF25" w14:textId="77777777" w:rsidR="009D1CDF" w:rsidRPr="00C73F29" w:rsidRDefault="009D1CDF" w:rsidP="00C73F29">
            <w:pPr>
              <w:spacing w:after="0"/>
              <w:jc w:val="center"/>
              <w:rPr>
                <w:rFonts w:ascii="Arial" w:hAnsi="Arial" w:cs="Arial"/>
                <w:b/>
                <w:bCs/>
                <w:sz w:val="16"/>
                <w:szCs w:val="16"/>
              </w:rPr>
            </w:pPr>
            <w:r w:rsidRPr="00C73F29">
              <w:rPr>
                <w:rFonts w:ascii="Arial" w:hAnsi="Arial" w:cs="Arial"/>
                <w:b/>
                <w:bCs/>
                <w:sz w:val="16"/>
                <w:szCs w:val="16"/>
              </w:rPr>
              <w:t>BB+ hasta BB-</w:t>
            </w:r>
          </w:p>
        </w:tc>
        <w:tc>
          <w:tcPr>
            <w:tcW w:w="920" w:type="dxa"/>
            <w:tcBorders>
              <w:top w:val="single" w:sz="4" w:space="0" w:color="auto"/>
              <w:left w:val="nil"/>
              <w:bottom w:val="single" w:sz="4" w:space="0" w:color="auto"/>
              <w:right w:val="single" w:sz="4" w:space="0" w:color="auto"/>
            </w:tcBorders>
            <w:shd w:val="clear" w:color="auto" w:fill="D9D9D9"/>
            <w:vAlign w:val="center"/>
            <w:hideMark/>
          </w:tcPr>
          <w:p w14:paraId="0519F104" w14:textId="77777777" w:rsidR="009D1CDF" w:rsidRPr="00C73F29" w:rsidRDefault="009D1CDF" w:rsidP="00C73F29">
            <w:pPr>
              <w:spacing w:after="0"/>
              <w:jc w:val="center"/>
              <w:rPr>
                <w:rFonts w:ascii="Arial" w:hAnsi="Arial" w:cs="Arial"/>
                <w:b/>
                <w:bCs/>
                <w:sz w:val="16"/>
                <w:szCs w:val="16"/>
              </w:rPr>
            </w:pPr>
            <w:r w:rsidRPr="00C73F29">
              <w:rPr>
                <w:rFonts w:ascii="Arial" w:hAnsi="Arial" w:cs="Arial"/>
                <w:b/>
                <w:bCs/>
                <w:sz w:val="16"/>
                <w:szCs w:val="16"/>
              </w:rPr>
              <w:t xml:space="preserve">B+ </w:t>
            </w:r>
            <w:r w:rsidRPr="00C73F29">
              <w:rPr>
                <w:rFonts w:ascii="Arial" w:hAnsi="Arial" w:cs="Arial"/>
                <w:b/>
                <w:bCs/>
                <w:sz w:val="16"/>
                <w:szCs w:val="16"/>
              </w:rPr>
              <w:br/>
              <w:t>hasta B-</w:t>
            </w:r>
          </w:p>
        </w:tc>
        <w:tc>
          <w:tcPr>
            <w:tcW w:w="880" w:type="dxa"/>
            <w:tcBorders>
              <w:top w:val="single" w:sz="4" w:space="0" w:color="auto"/>
              <w:left w:val="nil"/>
              <w:bottom w:val="single" w:sz="4" w:space="0" w:color="auto"/>
              <w:right w:val="single" w:sz="4" w:space="0" w:color="auto"/>
            </w:tcBorders>
            <w:shd w:val="clear" w:color="auto" w:fill="D9D9D9"/>
            <w:vAlign w:val="center"/>
            <w:hideMark/>
          </w:tcPr>
          <w:p w14:paraId="4F3FE05F" w14:textId="77777777" w:rsidR="009D1CDF" w:rsidRPr="00C73F29" w:rsidRDefault="009D1CDF" w:rsidP="00C73F29">
            <w:pPr>
              <w:spacing w:after="0"/>
              <w:jc w:val="center"/>
              <w:rPr>
                <w:rFonts w:ascii="Arial" w:hAnsi="Arial" w:cs="Arial"/>
                <w:b/>
                <w:bCs/>
                <w:sz w:val="16"/>
                <w:szCs w:val="16"/>
              </w:rPr>
            </w:pPr>
            <w:r w:rsidRPr="00C73F29">
              <w:rPr>
                <w:rFonts w:ascii="Arial" w:hAnsi="Arial" w:cs="Arial"/>
                <w:b/>
                <w:bCs/>
                <w:sz w:val="16"/>
                <w:szCs w:val="16"/>
              </w:rPr>
              <w:t>Inferior a B-</w:t>
            </w:r>
          </w:p>
        </w:tc>
      </w:tr>
      <w:tr w:rsidR="009D1CDF" w:rsidRPr="00507671" w14:paraId="614A37CB" w14:textId="77777777">
        <w:trPr>
          <w:trHeight w:val="240"/>
        </w:trPr>
        <w:tc>
          <w:tcPr>
            <w:tcW w:w="5900" w:type="dxa"/>
            <w:tcBorders>
              <w:top w:val="nil"/>
              <w:left w:val="single" w:sz="4" w:space="0" w:color="auto"/>
              <w:bottom w:val="single" w:sz="4" w:space="0" w:color="auto"/>
              <w:right w:val="single" w:sz="4" w:space="0" w:color="auto"/>
            </w:tcBorders>
            <w:shd w:val="clear" w:color="auto" w:fill="FFFFFF"/>
            <w:vAlign w:val="bottom"/>
            <w:hideMark/>
          </w:tcPr>
          <w:p w14:paraId="7D14F156" w14:textId="77777777" w:rsidR="009D1CDF" w:rsidRPr="00C73F29" w:rsidRDefault="009D1CDF">
            <w:pPr>
              <w:spacing w:after="0"/>
              <w:jc w:val="both"/>
              <w:rPr>
                <w:rFonts w:ascii="Arial" w:hAnsi="Arial" w:cs="Arial"/>
                <w:sz w:val="16"/>
                <w:szCs w:val="16"/>
              </w:rPr>
            </w:pPr>
            <w:r w:rsidRPr="00C73F29">
              <w:rPr>
                <w:rFonts w:ascii="Arial" w:hAnsi="Arial" w:cs="Arial"/>
                <w:sz w:val="16"/>
                <w:szCs w:val="16"/>
              </w:rPr>
              <w:t>Caja</w:t>
            </w:r>
          </w:p>
        </w:tc>
        <w:tc>
          <w:tcPr>
            <w:tcW w:w="880" w:type="dxa"/>
            <w:vMerge w:val="restart"/>
            <w:tcBorders>
              <w:top w:val="nil"/>
              <w:left w:val="single" w:sz="4" w:space="0" w:color="auto"/>
              <w:bottom w:val="single" w:sz="4" w:space="0" w:color="000000"/>
              <w:right w:val="single" w:sz="4" w:space="0" w:color="auto"/>
            </w:tcBorders>
            <w:vAlign w:val="center"/>
            <w:hideMark/>
          </w:tcPr>
          <w:p w14:paraId="277B5EB0" w14:textId="77777777" w:rsidR="009D1CDF" w:rsidRPr="00C73F29" w:rsidRDefault="009D1CDF" w:rsidP="00C73F29">
            <w:pPr>
              <w:spacing w:after="0"/>
              <w:jc w:val="center"/>
              <w:rPr>
                <w:rFonts w:ascii="Arial" w:hAnsi="Arial" w:cs="Arial"/>
                <w:sz w:val="16"/>
                <w:szCs w:val="16"/>
              </w:rPr>
            </w:pPr>
            <w:r w:rsidRPr="00C73F29">
              <w:rPr>
                <w:rFonts w:ascii="Arial" w:hAnsi="Arial" w:cs="Arial"/>
                <w:sz w:val="16"/>
                <w:szCs w:val="16"/>
              </w:rPr>
              <w:t>0%</w:t>
            </w:r>
          </w:p>
        </w:tc>
        <w:tc>
          <w:tcPr>
            <w:tcW w:w="880" w:type="dxa"/>
            <w:vMerge w:val="restart"/>
            <w:tcBorders>
              <w:top w:val="nil"/>
              <w:left w:val="single" w:sz="4" w:space="0" w:color="auto"/>
              <w:bottom w:val="single" w:sz="4" w:space="0" w:color="000000"/>
              <w:right w:val="single" w:sz="4" w:space="0" w:color="auto"/>
            </w:tcBorders>
            <w:vAlign w:val="center"/>
            <w:hideMark/>
          </w:tcPr>
          <w:p w14:paraId="42EC55E3" w14:textId="77777777" w:rsidR="009D1CDF" w:rsidRPr="00C73F29" w:rsidRDefault="009D1CDF" w:rsidP="00C73F29">
            <w:pPr>
              <w:spacing w:after="0"/>
              <w:jc w:val="center"/>
              <w:rPr>
                <w:rFonts w:ascii="Arial" w:hAnsi="Arial" w:cs="Arial"/>
                <w:sz w:val="16"/>
                <w:szCs w:val="16"/>
              </w:rPr>
            </w:pPr>
            <w:r w:rsidRPr="00C73F29">
              <w:rPr>
                <w:rFonts w:ascii="Arial" w:hAnsi="Arial" w:cs="Arial"/>
                <w:sz w:val="16"/>
                <w:szCs w:val="16"/>
              </w:rPr>
              <w:t>1,5%</w:t>
            </w:r>
          </w:p>
        </w:tc>
        <w:tc>
          <w:tcPr>
            <w:tcW w:w="920" w:type="dxa"/>
            <w:vMerge w:val="restart"/>
            <w:tcBorders>
              <w:top w:val="nil"/>
              <w:left w:val="single" w:sz="4" w:space="0" w:color="auto"/>
              <w:bottom w:val="single" w:sz="4" w:space="0" w:color="000000"/>
              <w:right w:val="single" w:sz="4" w:space="0" w:color="auto"/>
            </w:tcBorders>
            <w:vAlign w:val="center"/>
            <w:hideMark/>
          </w:tcPr>
          <w:p w14:paraId="7FA7B808" w14:textId="77777777" w:rsidR="009D1CDF" w:rsidRPr="00C73F29" w:rsidRDefault="009D1CDF" w:rsidP="00C73F29">
            <w:pPr>
              <w:spacing w:after="0"/>
              <w:jc w:val="center"/>
              <w:rPr>
                <w:rFonts w:ascii="Arial" w:hAnsi="Arial" w:cs="Arial"/>
                <w:sz w:val="16"/>
                <w:szCs w:val="16"/>
              </w:rPr>
            </w:pPr>
            <w:r w:rsidRPr="00C73F29">
              <w:rPr>
                <w:rFonts w:ascii="Arial" w:hAnsi="Arial" w:cs="Arial"/>
                <w:sz w:val="16"/>
                <w:szCs w:val="16"/>
              </w:rPr>
              <w:t>4,5%</w:t>
            </w:r>
          </w:p>
        </w:tc>
        <w:tc>
          <w:tcPr>
            <w:tcW w:w="880" w:type="dxa"/>
            <w:vMerge w:val="restart"/>
            <w:tcBorders>
              <w:top w:val="nil"/>
              <w:left w:val="single" w:sz="4" w:space="0" w:color="auto"/>
              <w:bottom w:val="single" w:sz="4" w:space="0" w:color="000000"/>
              <w:right w:val="single" w:sz="4" w:space="0" w:color="auto"/>
            </w:tcBorders>
            <w:vAlign w:val="center"/>
            <w:hideMark/>
          </w:tcPr>
          <w:p w14:paraId="604C118D" w14:textId="77777777" w:rsidR="009D1CDF" w:rsidRPr="00C73F29" w:rsidRDefault="009D1CDF" w:rsidP="00C73F29">
            <w:pPr>
              <w:spacing w:after="0"/>
              <w:jc w:val="center"/>
              <w:rPr>
                <w:rFonts w:ascii="Arial" w:hAnsi="Arial" w:cs="Arial"/>
                <w:sz w:val="16"/>
                <w:szCs w:val="16"/>
              </w:rPr>
            </w:pPr>
            <w:r w:rsidRPr="00C73F29">
              <w:rPr>
                <w:rFonts w:ascii="Arial" w:hAnsi="Arial" w:cs="Arial"/>
                <w:sz w:val="16"/>
                <w:szCs w:val="16"/>
              </w:rPr>
              <w:t>8,5%</w:t>
            </w:r>
          </w:p>
        </w:tc>
      </w:tr>
      <w:tr w:rsidR="009D1CDF" w:rsidRPr="00507671" w14:paraId="773FE272" w14:textId="77777777">
        <w:trPr>
          <w:trHeight w:val="275"/>
        </w:trPr>
        <w:tc>
          <w:tcPr>
            <w:tcW w:w="5900" w:type="dxa"/>
            <w:tcBorders>
              <w:top w:val="nil"/>
              <w:left w:val="single" w:sz="4" w:space="0" w:color="auto"/>
              <w:bottom w:val="single" w:sz="4" w:space="0" w:color="auto"/>
              <w:right w:val="single" w:sz="4" w:space="0" w:color="auto"/>
            </w:tcBorders>
            <w:shd w:val="clear" w:color="auto" w:fill="FFFFFF"/>
            <w:vAlign w:val="bottom"/>
            <w:hideMark/>
          </w:tcPr>
          <w:p w14:paraId="774B6453" w14:textId="77777777" w:rsidR="009D1CDF" w:rsidRPr="00C73F29" w:rsidRDefault="009D1CDF">
            <w:pPr>
              <w:spacing w:after="0"/>
              <w:jc w:val="both"/>
              <w:rPr>
                <w:rFonts w:ascii="Arial" w:hAnsi="Arial" w:cs="Arial"/>
                <w:sz w:val="16"/>
                <w:szCs w:val="16"/>
              </w:rPr>
            </w:pPr>
            <w:r w:rsidRPr="00C73F29">
              <w:rPr>
                <w:rFonts w:ascii="Arial" w:hAnsi="Arial" w:cs="Arial"/>
                <w:sz w:val="16"/>
                <w:szCs w:val="16"/>
              </w:rPr>
              <w:t>Depósitos a la vista en entidades sometidas a vigilancia de la SFC</w:t>
            </w:r>
          </w:p>
        </w:tc>
        <w:tc>
          <w:tcPr>
            <w:tcW w:w="0" w:type="auto"/>
            <w:vMerge/>
            <w:tcBorders>
              <w:top w:val="nil"/>
              <w:left w:val="single" w:sz="4" w:space="0" w:color="auto"/>
              <w:bottom w:val="single" w:sz="4" w:space="0" w:color="000000"/>
              <w:right w:val="single" w:sz="4" w:space="0" w:color="auto"/>
            </w:tcBorders>
            <w:vAlign w:val="center"/>
            <w:hideMark/>
          </w:tcPr>
          <w:p w14:paraId="2254AE7A"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5B64E92"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DF0FF1E"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1781811" w14:textId="77777777" w:rsidR="009D1CDF" w:rsidRPr="00C73F29" w:rsidRDefault="009D1CDF" w:rsidP="00C73F29">
            <w:pPr>
              <w:spacing w:after="0"/>
              <w:jc w:val="center"/>
              <w:rPr>
                <w:rFonts w:ascii="Arial" w:hAnsi="Arial" w:cs="Arial"/>
                <w:sz w:val="16"/>
                <w:szCs w:val="16"/>
              </w:rPr>
            </w:pPr>
          </w:p>
        </w:tc>
      </w:tr>
      <w:tr w:rsidR="009D1CDF" w:rsidRPr="00507671" w14:paraId="7B81C1E8" w14:textId="77777777">
        <w:trPr>
          <w:trHeight w:val="456"/>
        </w:trPr>
        <w:tc>
          <w:tcPr>
            <w:tcW w:w="5900" w:type="dxa"/>
            <w:tcBorders>
              <w:top w:val="nil"/>
              <w:left w:val="single" w:sz="4" w:space="0" w:color="auto"/>
              <w:bottom w:val="single" w:sz="4" w:space="0" w:color="auto"/>
              <w:right w:val="single" w:sz="4" w:space="0" w:color="auto"/>
            </w:tcBorders>
            <w:shd w:val="clear" w:color="auto" w:fill="FFFFFF"/>
            <w:vAlign w:val="bottom"/>
            <w:hideMark/>
          </w:tcPr>
          <w:p w14:paraId="68DF17F0" w14:textId="77777777" w:rsidR="009D1CDF" w:rsidRPr="00C73F29" w:rsidRDefault="009D1CDF">
            <w:pPr>
              <w:spacing w:after="0"/>
              <w:jc w:val="both"/>
              <w:rPr>
                <w:rFonts w:ascii="Arial" w:hAnsi="Arial" w:cs="Arial"/>
                <w:sz w:val="16"/>
                <w:szCs w:val="16"/>
              </w:rPr>
            </w:pPr>
            <w:r w:rsidRPr="00C73F29">
              <w:rPr>
                <w:rFonts w:ascii="Arial" w:hAnsi="Arial" w:cs="Arial"/>
                <w:sz w:val="16"/>
                <w:szCs w:val="16"/>
              </w:rPr>
              <w:t>Inversiones en títulos o valores del Banco de la República o de la Nación y garantizados por ésta en la parte cubierta</w:t>
            </w:r>
          </w:p>
        </w:tc>
        <w:tc>
          <w:tcPr>
            <w:tcW w:w="0" w:type="auto"/>
            <w:vMerge/>
            <w:tcBorders>
              <w:top w:val="nil"/>
              <w:left w:val="single" w:sz="4" w:space="0" w:color="auto"/>
              <w:bottom w:val="single" w:sz="4" w:space="0" w:color="000000"/>
              <w:right w:val="single" w:sz="4" w:space="0" w:color="auto"/>
            </w:tcBorders>
            <w:vAlign w:val="center"/>
            <w:hideMark/>
          </w:tcPr>
          <w:p w14:paraId="51A6468D"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2ED6C6E"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965B6AB"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E1D7797" w14:textId="77777777" w:rsidR="009D1CDF" w:rsidRPr="00C73F29" w:rsidRDefault="009D1CDF" w:rsidP="00C73F29">
            <w:pPr>
              <w:spacing w:after="0"/>
              <w:jc w:val="center"/>
              <w:rPr>
                <w:rFonts w:ascii="Arial" w:hAnsi="Arial" w:cs="Arial"/>
                <w:sz w:val="16"/>
                <w:szCs w:val="16"/>
              </w:rPr>
            </w:pPr>
          </w:p>
        </w:tc>
      </w:tr>
      <w:tr w:rsidR="009D1CDF" w:rsidRPr="00507671" w14:paraId="523C1CFC" w14:textId="77777777">
        <w:trPr>
          <w:trHeight w:val="456"/>
        </w:trPr>
        <w:tc>
          <w:tcPr>
            <w:tcW w:w="5900" w:type="dxa"/>
            <w:tcBorders>
              <w:top w:val="nil"/>
              <w:left w:val="single" w:sz="4" w:space="0" w:color="auto"/>
              <w:bottom w:val="single" w:sz="4" w:space="0" w:color="auto"/>
              <w:right w:val="single" w:sz="4" w:space="0" w:color="auto"/>
            </w:tcBorders>
            <w:shd w:val="clear" w:color="auto" w:fill="FFFFFF"/>
            <w:vAlign w:val="bottom"/>
            <w:hideMark/>
          </w:tcPr>
          <w:p w14:paraId="3BF8CA68" w14:textId="77777777" w:rsidR="009D1CDF" w:rsidRPr="00C73F29" w:rsidRDefault="009D1CDF">
            <w:pPr>
              <w:spacing w:after="0"/>
              <w:jc w:val="both"/>
              <w:rPr>
                <w:rFonts w:ascii="Arial" w:hAnsi="Arial" w:cs="Arial"/>
                <w:sz w:val="16"/>
                <w:szCs w:val="16"/>
              </w:rPr>
            </w:pPr>
            <w:r w:rsidRPr="00C73F29">
              <w:rPr>
                <w:rFonts w:ascii="Arial" w:hAnsi="Arial" w:cs="Arial"/>
                <w:sz w:val="16"/>
                <w:szCs w:val="16"/>
              </w:rPr>
              <w:t>Bonos y títulos hipotecarios que cuenten con garantía total del Gobierno Nacional, a través de FOGAFIN</w:t>
            </w:r>
          </w:p>
        </w:tc>
        <w:tc>
          <w:tcPr>
            <w:tcW w:w="0" w:type="auto"/>
            <w:vMerge/>
            <w:tcBorders>
              <w:top w:val="nil"/>
              <w:left w:val="single" w:sz="4" w:space="0" w:color="auto"/>
              <w:bottom w:val="single" w:sz="4" w:space="0" w:color="000000"/>
              <w:right w:val="single" w:sz="4" w:space="0" w:color="auto"/>
            </w:tcBorders>
            <w:vAlign w:val="center"/>
            <w:hideMark/>
          </w:tcPr>
          <w:p w14:paraId="5279CBA0"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25859CC8"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1DC6E77"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0867B7C" w14:textId="77777777" w:rsidR="009D1CDF" w:rsidRPr="00C73F29" w:rsidRDefault="009D1CDF" w:rsidP="00C73F29">
            <w:pPr>
              <w:spacing w:after="0"/>
              <w:jc w:val="center"/>
              <w:rPr>
                <w:rFonts w:ascii="Arial" w:hAnsi="Arial" w:cs="Arial"/>
                <w:sz w:val="16"/>
                <w:szCs w:val="16"/>
              </w:rPr>
            </w:pPr>
          </w:p>
        </w:tc>
      </w:tr>
      <w:tr w:rsidR="009D1CDF" w:rsidRPr="00507671" w14:paraId="31F06190" w14:textId="77777777">
        <w:trPr>
          <w:trHeight w:val="456"/>
        </w:trPr>
        <w:tc>
          <w:tcPr>
            <w:tcW w:w="5900" w:type="dxa"/>
            <w:tcBorders>
              <w:top w:val="nil"/>
              <w:left w:val="single" w:sz="4" w:space="0" w:color="auto"/>
              <w:bottom w:val="single" w:sz="4" w:space="0" w:color="auto"/>
              <w:right w:val="single" w:sz="4" w:space="0" w:color="auto"/>
            </w:tcBorders>
            <w:shd w:val="clear" w:color="auto" w:fill="FFFFFF"/>
            <w:vAlign w:val="bottom"/>
            <w:hideMark/>
          </w:tcPr>
          <w:p w14:paraId="6730E0B0" w14:textId="77777777" w:rsidR="009D1CDF" w:rsidRPr="00C73F29" w:rsidRDefault="009D1CDF">
            <w:pPr>
              <w:spacing w:after="0"/>
              <w:jc w:val="both"/>
              <w:rPr>
                <w:rFonts w:ascii="Arial" w:hAnsi="Arial" w:cs="Arial"/>
                <w:sz w:val="16"/>
                <w:szCs w:val="16"/>
              </w:rPr>
            </w:pPr>
            <w:r w:rsidRPr="00C73F29">
              <w:rPr>
                <w:rFonts w:ascii="Arial" w:hAnsi="Arial" w:cs="Arial"/>
                <w:sz w:val="16"/>
                <w:szCs w:val="16"/>
              </w:rPr>
              <w:t>Cuentas por cobrar cuenta corriente seguro de crédito a la exportación garantizados por la Nación</w:t>
            </w:r>
          </w:p>
        </w:tc>
        <w:tc>
          <w:tcPr>
            <w:tcW w:w="0" w:type="auto"/>
            <w:vMerge/>
            <w:tcBorders>
              <w:top w:val="nil"/>
              <w:left w:val="single" w:sz="4" w:space="0" w:color="auto"/>
              <w:bottom w:val="single" w:sz="4" w:space="0" w:color="000000"/>
              <w:right w:val="single" w:sz="4" w:space="0" w:color="auto"/>
            </w:tcBorders>
            <w:vAlign w:val="center"/>
            <w:hideMark/>
          </w:tcPr>
          <w:p w14:paraId="5928A46A"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0738669B"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9C4F199"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3753148" w14:textId="77777777" w:rsidR="009D1CDF" w:rsidRPr="00C73F29" w:rsidRDefault="009D1CDF" w:rsidP="00C73F29">
            <w:pPr>
              <w:spacing w:after="0"/>
              <w:jc w:val="center"/>
              <w:rPr>
                <w:rFonts w:ascii="Arial" w:hAnsi="Arial" w:cs="Arial"/>
                <w:sz w:val="16"/>
                <w:szCs w:val="16"/>
              </w:rPr>
            </w:pPr>
          </w:p>
        </w:tc>
      </w:tr>
      <w:tr w:rsidR="009D1CDF" w:rsidRPr="00507671" w14:paraId="4931F188" w14:textId="77777777">
        <w:trPr>
          <w:trHeight w:val="456"/>
        </w:trPr>
        <w:tc>
          <w:tcPr>
            <w:tcW w:w="5900" w:type="dxa"/>
            <w:tcBorders>
              <w:top w:val="nil"/>
              <w:left w:val="single" w:sz="4" w:space="0" w:color="auto"/>
              <w:bottom w:val="single" w:sz="4" w:space="0" w:color="auto"/>
              <w:right w:val="single" w:sz="4" w:space="0" w:color="auto"/>
            </w:tcBorders>
            <w:shd w:val="clear" w:color="auto" w:fill="FFFFFF"/>
            <w:vAlign w:val="bottom"/>
            <w:hideMark/>
          </w:tcPr>
          <w:p w14:paraId="6DDB92F2" w14:textId="77777777" w:rsidR="009D1CDF" w:rsidRPr="00C73F29" w:rsidRDefault="009D1CDF">
            <w:pPr>
              <w:spacing w:after="0"/>
              <w:jc w:val="both"/>
              <w:rPr>
                <w:rFonts w:ascii="Arial" w:hAnsi="Arial" w:cs="Arial"/>
                <w:sz w:val="16"/>
                <w:szCs w:val="16"/>
              </w:rPr>
            </w:pPr>
            <w:r w:rsidRPr="00C73F29">
              <w:rPr>
                <w:rFonts w:ascii="Arial" w:hAnsi="Arial" w:cs="Arial"/>
                <w:sz w:val="16"/>
                <w:szCs w:val="16"/>
              </w:rPr>
              <w:t>Siniestros pendientes del seguro de crédito a la exportación garantizados por la Nación.</w:t>
            </w:r>
          </w:p>
        </w:tc>
        <w:tc>
          <w:tcPr>
            <w:tcW w:w="0" w:type="auto"/>
            <w:vMerge/>
            <w:tcBorders>
              <w:top w:val="nil"/>
              <w:left w:val="single" w:sz="4" w:space="0" w:color="auto"/>
              <w:bottom w:val="single" w:sz="4" w:space="0" w:color="000000"/>
              <w:right w:val="single" w:sz="4" w:space="0" w:color="auto"/>
            </w:tcBorders>
            <w:vAlign w:val="center"/>
            <w:hideMark/>
          </w:tcPr>
          <w:p w14:paraId="1BA1529D"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6EB1EE3"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50CB9BD"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43E683E" w14:textId="77777777" w:rsidR="009D1CDF" w:rsidRPr="00C73F29" w:rsidRDefault="009D1CDF" w:rsidP="00C73F29">
            <w:pPr>
              <w:spacing w:after="0"/>
              <w:jc w:val="center"/>
              <w:rPr>
                <w:rFonts w:ascii="Arial" w:hAnsi="Arial" w:cs="Arial"/>
                <w:sz w:val="16"/>
                <w:szCs w:val="16"/>
              </w:rPr>
            </w:pPr>
          </w:p>
        </w:tc>
      </w:tr>
      <w:tr w:rsidR="009D1CDF" w:rsidRPr="00507671" w14:paraId="76A777FB" w14:textId="77777777">
        <w:trPr>
          <w:trHeight w:val="672"/>
        </w:trPr>
        <w:tc>
          <w:tcPr>
            <w:tcW w:w="5900" w:type="dxa"/>
            <w:tcBorders>
              <w:top w:val="nil"/>
              <w:left w:val="single" w:sz="4" w:space="0" w:color="auto"/>
              <w:bottom w:val="single" w:sz="4" w:space="0" w:color="auto"/>
              <w:right w:val="single" w:sz="4" w:space="0" w:color="auto"/>
            </w:tcBorders>
            <w:shd w:val="clear" w:color="auto" w:fill="FFFFFF"/>
            <w:vAlign w:val="bottom"/>
            <w:hideMark/>
          </w:tcPr>
          <w:p w14:paraId="1C0BD489" w14:textId="77777777" w:rsidR="009D1CDF" w:rsidRPr="00C73F29" w:rsidRDefault="009D1CDF">
            <w:pPr>
              <w:spacing w:after="0"/>
              <w:jc w:val="both"/>
              <w:rPr>
                <w:rFonts w:ascii="Arial" w:hAnsi="Arial" w:cs="Arial"/>
                <w:sz w:val="16"/>
                <w:szCs w:val="16"/>
              </w:rPr>
            </w:pPr>
            <w:r w:rsidRPr="00C73F29">
              <w:rPr>
                <w:rFonts w:ascii="Arial" w:hAnsi="Arial" w:cs="Arial"/>
                <w:sz w:val="16"/>
                <w:szCs w:val="16"/>
              </w:rPr>
              <w:t>Exposición neta en las operaciones de reporto o repo y simultaneas siempre que la contraparte sea la Nación, el Banco de la República o Cámara de riesgo central de contraparte</w:t>
            </w:r>
          </w:p>
        </w:tc>
        <w:tc>
          <w:tcPr>
            <w:tcW w:w="0" w:type="auto"/>
            <w:vMerge/>
            <w:tcBorders>
              <w:top w:val="nil"/>
              <w:left w:val="single" w:sz="4" w:space="0" w:color="auto"/>
              <w:bottom w:val="single" w:sz="4" w:space="0" w:color="000000"/>
              <w:right w:val="single" w:sz="4" w:space="0" w:color="auto"/>
            </w:tcBorders>
            <w:vAlign w:val="center"/>
            <w:hideMark/>
          </w:tcPr>
          <w:p w14:paraId="0CE5555A"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5081F68"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3A9BE16"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1EE1BA6" w14:textId="77777777" w:rsidR="009D1CDF" w:rsidRPr="00C73F29" w:rsidRDefault="009D1CDF" w:rsidP="00C73F29">
            <w:pPr>
              <w:spacing w:after="0"/>
              <w:jc w:val="center"/>
              <w:rPr>
                <w:rFonts w:ascii="Arial" w:hAnsi="Arial" w:cs="Arial"/>
                <w:sz w:val="16"/>
                <w:szCs w:val="16"/>
              </w:rPr>
            </w:pPr>
          </w:p>
        </w:tc>
      </w:tr>
      <w:tr w:rsidR="009D1CDF" w:rsidRPr="00507671" w14:paraId="0AE770DC" w14:textId="77777777">
        <w:trPr>
          <w:trHeight w:val="684"/>
        </w:trPr>
        <w:tc>
          <w:tcPr>
            <w:tcW w:w="5900" w:type="dxa"/>
            <w:tcBorders>
              <w:top w:val="nil"/>
              <w:left w:val="single" w:sz="4" w:space="0" w:color="auto"/>
              <w:bottom w:val="single" w:sz="4" w:space="0" w:color="auto"/>
              <w:right w:val="single" w:sz="4" w:space="0" w:color="auto"/>
            </w:tcBorders>
            <w:shd w:val="clear" w:color="auto" w:fill="FFFFFF"/>
            <w:vAlign w:val="bottom"/>
            <w:hideMark/>
          </w:tcPr>
          <w:p w14:paraId="11B2DFBB" w14:textId="77777777" w:rsidR="009D1CDF" w:rsidRPr="00C73F29" w:rsidRDefault="009D1CDF">
            <w:pPr>
              <w:spacing w:after="0"/>
              <w:jc w:val="both"/>
              <w:rPr>
                <w:rFonts w:ascii="Arial" w:hAnsi="Arial" w:cs="Arial"/>
                <w:sz w:val="16"/>
                <w:szCs w:val="16"/>
              </w:rPr>
            </w:pPr>
            <w:r w:rsidRPr="00C73F29">
              <w:rPr>
                <w:rFonts w:ascii="Arial" w:hAnsi="Arial" w:cs="Arial"/>
                <w:sz w:val="16"/>
                <w:szCs w:val="16"/>
              </w:rPr>
              <w:t>Exposición neta en las operaciones de transferencia temporal de valores siempre que la contraparte sea la Nación, el Banco República o una cámara de riesgo central de contraparte</w:t>
            </w:r>
          </w:p>
        </w:tc>
        <w:tc>
          <w:tcPr>
            <w:tcW w:w="0" w:type="auto"/>
            <w:vMerge/>
            <w:tcBorders>
              <w:top w:val="nil"/>
              <w:left w:val="single" w:sz="4" w:space="0" w:color="auto"/>
              <w:bottom w:val="single" w:sz="4" w:space="0" w:color="000000"/>
              <w:right w:val="single" w:sz="4" w:space="0" w:color="auto"/>
            </w:tcBorders>
            <w:vAlign w:val="center"/>
            <w:hideMark/>
          </w:tcPr>
          <w:p w14:paraId="163DD30A"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CD5F2C2"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6CEEB4C"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B258EE4" w14:textId="77777777" w:rsidR="009D1CDF" w:rsidRPr="00C73F29" w:rsidRDefault="009D1CDF" w:rsidP="00C73F29">
            <w:pPr>
              <w:spacing w:after="0"/>
              <w:jc w:val="center"/>
              <w:rPr>
                <w:rFonts w:ascii="Arial" w:hAnsi="Arial" w:cs="Arial"/>
                <w:sz w:val="16"/>
                <w:szCs w:val="16"/>
              </w:rPr>
            </w:pPr>
          </w:p>
        </w:tc>
      </w:tr>
      <w:tr w:rsidR="009D1CDF" w:rsidRPr="00507671" w14:paraId="45048D09" w14:textId="77777777">
        <w:trPr>
          <w:trHeight w:val="684"/>
        </w:trPr>
        <w:tc>
          <w:tcPr>
            <w:tcW w:w="5900" w:type="dxa"/>
            <w:tcBorders>
              <w:top w:val="nil"/>
              <w:left w:val="single" w:sz="4" w:space="0" w:color="auto"/>
              <w:bottom w:val="single" w:sz="4" w:space="0" w:color="auto"/>
              <w:right w:val="single" w:sz="4" w:space="0" w:color="auto"/>
            </w:tcBorders>
            <w:shd w:val="clear" w:color="auto" w:fill="FFFFFF"/>
            <w:vAlign w:val="bottom"/>
            <w:hideMark/>
          </w:tcPr>
          <w:p w14:paraId="6BE16BF4" w14:textId="77777777" w:rsidR="009D1CDF" w:rsidRPr="00C73F29" w:rsidRDefault="009D1CDF">
            <w:pPr>
              <w:spacing w:after="0"/>
              <w:jc w:val="both"/>
              <w:rPr>
                <w:rFonts w:ascii="Arial" w:hAnsi="Arial" w:cs="Arial"/>
                <w:sz w:val="16"/>
                <w:szCs w:val="16"/>
              </w:rPr>
            </w:pPr>
            <w:r w:rsidRPr="00C73F29">
              <w:rPr>
                <w:rFonts w:ascii="Arial" w:hAnsi="Arial" w:cs="Arial"/>
                <w:sz w:val="16"/>
                <w:szCs w:val="16"/>
              </w:rPr>
              <w:t>Exposición crediticia en operaciones con instrumentos financieros derivados siempre que la contraparte sea la Nación, el Banco de la República o cámara de riesgo central de contraparte</w:t>
            </w:r>
          </w:p>
        </w:tc>
        <w:tc>
          <w:tcPr>
            <w:tcW w:w="0" w:type="auto"/>
            <w:vMerge/>
            <w:tcBorders>
              <w:top w:val="nil"/>
              <w:left w:val="single" w:sz="4" w:space="0" w:color="auto"/>
              <w:bottom w:val="single" w:sz="4" w:space="0" w:color="000000"/>
              <w:right w:val="single" w:sz="4" w:space="0" w:color="auto"/>
            </w:tcBorders>
            <w:vAlign w:val="center"/>
            <w:hideMark/>
          </w:tcPr>
          <w:p w14:paraId="41F76D25"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C2307DF"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6F1D145" w14:textId="77777777" w:rsidR="009D1CDF" w:rsidRPr="00C73F29" w:rsidRDefault="009D1CDF" w:rsidP="00C73F29">
            <w:pPr>
              <w:spacing w:after="0"/>
              <w:jc w:val="center"/>
              <w:rPr>
                <w:rFonts w:ascii="Arial" w:hAnsi="Arial" w:cs="Arial"/>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5F64D69" w14:textId="77777777" w:rsidR="009D1CDF" w:rsidRPr="00C73F29" w:rsidRDefault="009D1CDF" w:rsidP="00C73F29">
            <w:pPr>
              <w:spacing w:after="0"/>
              <w:jc w:val="center"/>
              <w:rPr>
                <w:rFonts w:ascii="Arial" w:hAnsi="Arial" w:cs="Arial"/>
                <w:sz w:val="16"/>
                <w:szCs w:val="16"/>
              </w:rPr>
            </w:pPr>
          </w:p>
        </w:tc>
      </w:tr>
      <w:tr w:rsidR="009D1CDF" w:rsidRPr="00507671" w14:paraId="12ECC141" w14:textId="77777777">
        <w:trPr>
          <w:trHeight w:val="456"/>
        </w:trPr>
        <w:tc>
          <w:tcPr>
            <w:tcW w:w="5900" w:type="dxa"/>
            <w:tcBorders>
              <w:top w:val="nil"/>
              <w:left w:val="single" w:sz="4" w:space="0" w:color="auto"/>
              <w:bottom w:val="single" w:sz="4" w:space="0" w:color="auto"/>
              <w:right w:val="single" w:sz="4" w:space="0" w:color="auto"/>
            </w:tcBorders>
            <w:shd w:val="clear" w:color="auto" w:fill="FFFFFF"/>
            <w:vAlign w:val="bottom"/>
            <w:hideMark/>
          </w:tcPr>
          <w:p w14:paraId="5AA36E94" w14:textId="77777777" w:rsidR="009D1CDF" w:rsidRPr="00C73F29" w:rsidRDefault="009D1CDF">
            <w:pPr>
              <w:spacing w:after="0"/>
              <w:jc w:val="both"/>
              <w:rPr>
                <w:rFonts w:ascii="Arial" w:hAnsi="Arial" w:cs="Arial"/>
                <w:sz w:val="16"/>
                <w:szCs w:val="16"/>
              </w:rPr>
            </w:pPr>
            <w:r w:rsidRPr="00C73F29">
              <w:rPr>
                <w:rFonts w:ascii="Arial" w:hAnsi="Arial" w:cs="Arial"/>
                <w:sz w:val="16"/>
                <w:szCs w:val="16"/>
              </w:rPr>
              <w:t>Títulos o valores emitidos o totalmente garantizados por entidades multilaterales de crédito</w:t>
            </w:r>
          </w:p>
        </w:tc>
        <w:tc>
          <w:tcPr>
            <w:tcW w:w="3560" w:type="dxa"/>
            <w:gridSpan w:val="4"/>
            <w:tcBorders>
              <w:top w:val="single" w:sz="4" w:space="0" w:color="auto"/>
              <w:left w:val="nil"/>
              <w:bottom w:val="single" w:sz="4" w:space="0" w:color="auto"/>
              <w:right w:val="single" w:sz="4" w:space="0" w:color="auto"/>
            </w:tcBorders>
            <w:vAlign w:val="center"/>
            <w:hideMark/>
          </w:tcPr>
          <w:p w14:paraId="4AD61B93" w14:textId="77777777" w:rsidR="009D1CDF" w:rsidRPr="00C73F29" w:rsidRDefault="009D1CDF" w:rsidP="00C73F29">
            <w:pPr>
              <w:spacing w:after="0"/>
              <w:jc w:val="center"/>
              <w:rPr>
                <w:rFonts w:ascii="Arial" w:hAnsi="Arial" w:cs="Arial"/>
                <w:sz w:val="16"/>
                <w:szCs w:val="16"/>
              </w:rPr>
            </w:pPr>
            <w:r w:rsidRPr="00C73F29">
              <w:rPr>
                <w:rFonts w:ascii="Arial" w:hAnsi="Arial" w:cs="Arial"/>
                <w:sz w:val="16"/>
                <w:szCs w:val="16"/>
              </w:rPr>
              <w:t>0%</w:t>
            </w:r>
          </w:p>
        </w:tc>
      </w:tr>
      <w:tr w:rsidR="009D1CDF" w:rsidRPr="00507671" w14:paraId="36423AD7" w14:textId="77777777">
        <w:trPr>
          <w:trHeight w:val="228"/>
        </w:trPr>
        <w:tc>
          <w:tcPr>
            <w:tcW w:w="5900" w:type="dxa"/>
            <w:tcBorders>
              <w:top w:val="nil"/>
              <w:left w:val="single" w:sz="4" w:space="0" w:color="auto"/>
              <w:bottom w:val="single" w:sz="4" w:space="0" w:color="auto"/>
              <w:right w:val="single" w:sz="4" w:space="0" w:color="auto"/>
            </w:tcBorders>
            <w:shd w:val="clear" w:color="auto" w:fill="FFFFFF"/>
            <w:vAlign w:val="bottom"/>
            <w:hideMark/>
          </w:tcPr>
          <w:p w14:paraId="1FBE8ED7" w14:textId="77777777" w:rsidR="009D1CDF" w:rsidRPr="00C73F29" w:rsidRDefault="009D1CDF">
            <w:pPr>
              <w:spacing w:after="0"/>
              <w:jc w:val="both"/>
              <w:rPr>
                <w:rFonts w:ascii="Arial" w:hAnsi="Arial" w:cs="Arial"/>
                <w:sz w:val="16"/>
                <w:szCs w:val="16"/>
              </w:rPr>
            </w:pPr>
            <w:r w:rsidRPr="00C73F29">
              <w:rPr>
                <w:rFonts w:ascii="Arial" w:hAnsi="Arial" w:cs="Arial"/>
                <w:sz w:val="16"/>
                <w:szCs w:val="16"/>
              </w:rPr>
              <w:t xml:space="preserve">Deuda soberana de países miembros del G-10 </w:t>
            </w:r>
          </w:p>
        </w:tc>
        <w:tc>
          <w:tcPr>
            <w:tcW w:w="3560" w:type="dxa"/>
            <w:gridSpan w:val="4"/>
            <w:tcBorders>
              <w:top w:val="single" w:sz="4" w:space="0" w:color="auto"/>
              <w:left w:val="nil"/>
              <w:bottom w:val="single" w:sz="4" w:space="0" w:color="auto"/>
              <w:right w:val="single" w:sz="4" w:space="0" w:color="auto"/>
            </w:tcBorders>
            <w:vAlign w:val="center"/>
            <w:hideMark/>
          </w:tcPr>
          <w:p w14:paraId="6C7A98BB" w14:textId="77777777" w:rsidR="009D1CDF" w:rsidRPr="00C73F29" w:rsidRDefault="009D1CDF" w:rsidP="00C73F29">
            <w:pPr>
              <w:spacing w:after="0"/>
              <w:jc w:val="center"/>
              <w:rPr>
                <w:rFonts w:ascii="Arial" w:hAnsi="Arial" w:cs="Arial"/>
                <w:sz w:val="16"/>
                <w:szCs w:val="16"/>
              </w:rPr>
            </w:pPr>
            <w:r w:rsidRPr="00C73F29">
              <w:rPr>
                <w:rFonts w:ascii="Arial" w:hAnsi="Arial" w:cs="Arial"/>
                <w:sz w:val="16"/>
                <w:szCs w:val="16"/>
              </w:rPr>
              <w:t>0%</w:t>
            </w:r>
          </w:p>
        </w:tc>
      </w:tr>
      <w:tr w:rsidR="009D1CDF" w:rsidRPr="00507671" w14:paraId="5E056B40" w14:textId="77777777">
        <w:trPr>
          <w:trHeight w:val="456"/>
        </w:trPr>
        <w:tc>
          <w:tcPr>
            <w:tcW w:w="5900" w:type="dxa"/>
            <w:tcBorders>
              <w:top w:val="nil"/>
              <w:left w:val="single" w:sz="4" w:space="0" w:color="auto"/>
              <w:bottom w:val="single" w:sz="4" w:space="0" w:color="auto"/>
              <w:right w:val="single" w:sz="4" w:space="0" w:color="auto"/>
            </w:tcBorders>
            <w:shd w:val="clear" w:color="auto" w:fill="FFFFFF"/>
            <w:vAlign w:val="bottom"/>
            <w:hideMark/>
          </w:tcPr>
          <w:p w14:paraId="25D81C27" w14:textId="77777777" w:rsidR="009D1CDF" w:rsidRPr="00C73F29" w:rsidRDefault="009D1CDF">
            <w:pPr>
              <w:spacing w:after="0"/>
              <w:jc w:val="both"/>
              <w:rPr>
                <w:rFonts w:ascii="Arial" w:hAnsi="Arial" w:cs="Arial"/>
                <w:sz w:val="16"/>
                <w:szCs w:val="16"/>
              </w:rPr>
            </w:pPr>
            <w:r w:rsidRPr="00C73F29">
              <w:rPr>
                <w:rFonts w:ascii="Arial" w:hAnsi="Arial" w:cs="Arial"/>
                <w:sz w:val="16"/>
                <w:szCs w:val="16"/>
              </w:rPr>
              <w:t>Títulos o valores, emitidos o totalmente garantizados por bancos centrales de países miembros del G-10</w:t>
            </w:r>
          </w:p>
        </w:tc>
        <w:tc>
          <w:tcPr>
            <w:tcW w:w="3560" w:type="dxa"/>
            <w:gridSpan w:val="4"/>
            <w:tcBorders>
              <w:top w:val="single" w:sz="4" w:space="0" w:color="auto"/>
              <w:left w:val="nil"/>
              <w:bottom w:val="single" w:sz="4" w:space="0" w:color="auto"/>
              <w:right w:val="single" w:sz="4" w:space="0" w:color="auto"/>
            </w:tcBorders>
            <w:vAlign w:val="center"/>
            <w:hideMark/>
          </w:tcPr>
          <w:p w14:paraId="6EBCDA09" w14:textId="77777777" w:rsidR="009D1CDF" w:rsidRPr="00C73F29" w:rsidRDefault="009D1CDF" w:rsidP="00C73F29">
            <w:pPr>
              <w:spacing w:after="0"/>
              <w:jc w:val="center"/>
              <w:rPr>
                <w:rFonts w:ascii="Arial" w:hAnsi="Arial" w:cs="Arial"/>
                <w:sz w:val="16"/>
                <w:szCs w:val="16"/>
              </w:rPr>
            </w:pPr>
            <w:r w:rsidRPr="00C73F29">
              <w:rPr>
                <w:rFonts w:ascii="Arial" w:hAnsi="Arial" w:cs="Arial"/>
                <w:sz w:val="16"/>
                <w:szCs w:val="16"/>
              </w:rPr>
              <w:t>0%</w:t>
            </w:r>
          </w:p>
        </w:tc>
      </w:tr>
    </w:tbl>
    <w:p w14:paraId="10F06A51" w14:textId="77777777" w:rsidR="009D1CDF" w:rsidRDefault="009D1CDF" w:rsidP="009D1CDF">
      <w:pPr>
        <w:spacing w:after="0"/>
        <w:jc w:val="both"/>
        <w:rPr>
          <w:rFonts w:ascii="Verdana" w:hAnsi="Verdana"/>
          <w:sz w:val="20"/>
          <w:szCs w:val="20"/>
        </w:rPr>
      </w:pPr>
    </w:p>
    <w:p w14:paraId="362F4921" w14:textId="77777777" w:rsidR="003A1DC9" w:rsidRDefault="003A1DC9" w:rsidP="009D1CDF">
      <w:pPr>
        <w:spacing w:after="0"/>
        <w:jc w:val="both"/>
        <w:rPr>
          <w:rFonts w:ascii="Verdana" w:hAnsi="Verdana"/>
          <w:sz w:val="20"/>
          <w:szCs w:val="20"/>
        </w:rPr>
      </w:pPr>
    </w:p>
    <w:p w14:paraId="004E38B6" w14:textId="77777777" w:rsidR="00CE1C02" w:rsidRDefault="00CE1C02" w:rsidP="009D1CDF">
      <w:pPr>
        <w:spacing w:after="0"/>
        <w:jc w:val="both"/>
        <w:rPr>
          <w:rFonts w:ascii="Verdana" w:hAnsi="Verdana"/>
          <w:sz w:val="20"/>
          <w:szCs w:val="20"/>
        </w:rPr>
      </w:pPr>
    </w:p>
    <w:p w14:paraId="2B1674C4" w14:textId="77777777" w:rsidR="00CE1C02" w:rsidRDefault="00CE1C02" w:rsidP="009D1CDF">
      <w:pPr>
        <w:spacing w:after="0"/>
        <w:jc w:val="both"/>
        <w:rPr>
          <w:rFonts w:ascii="Verdana" w:hAnsi="Verdana"/>
          <w:sz w:val="20"/>
          <w:szCs w:val="20"/>
        </w:rPr>
      </w:pPr>
    </w:p>
    <w:p w14:paraId="7DEA9C48" w14:textId="77777777" w:rsidR="003A1DC9" w:rsidRDefault="003A1DC9" w:rsidP="009D1CDF">
      <w:pPr>
        <w:spacing w:after="0"/>
        <w:jc w:val="both"/>
        <w:rPr>
          <w:rFonts w:ascii="Verdana" w:hAnsi="Verdana"/>
          <w:sz w:val="20"/>
          <w:szCs w:val="20"/>
        </w:rPr>
      </w:pPr>
    </w:p>
    <w:p w14:paraId="70B11E07" w14:textId="77777777" w:rsidR="003A1DC9" w:rsidRDefault="003A1DC9" w:rsidP="009D1CDF">
      <w:pPr>
        <w:spacing w:after="0"/>
        <w:jc w:val="both"/>
        <w:rPr>
          <w:rFonts w:ascii="Verdana" w:hAnsi="Verdana"/>
          <w:sz w:val="20"/>
          <w:szCs w:val="20"/>
        </w:rPr>
      </w:pPr>
    </w:p>
    <w:p w14:paraId="2162A7D4" w14:textId="77777777" w:rsidR="003A1DC9" w:rsidRDefault="003A1DC9" w:rsidP="009D1CDF">
      <w:pPr>
        <w:spacing w:after="0"/>
        <w:jc w:val="both"/>
        <w:rPr>
          <w:rFonts w:ascii="Verdana" w:hAnsi="Verdana"/>
          <w:sz w:val="20"/>
          <w:szCs w:val="20"/>
        </w:rPr>
      </w:pPr>
    </w:p>
    <w:p w14:paraId="3B35EF28" w14:textId="77777777" w:rsidR="003A1DC9" w:rsidRDefault="003A1DC9" w:rsidP="009D1CDF">
      <w:pPr>
        <w:spacing w:after="0"/>
        <w:jc w:val="both"/>
        <w:rPr>
          <w:rFonts w:ascii="Verdana" w:hAnsi="Verdana"/>
          <w:sz w:val="20"/>
          <w:szCs w:val="20"/>
        </w:rPr>
      </w:pPr>
    </w:p>
    <w:p w14:paraId="5EA977D8" w14:textId="77777777" w:rsidR="003A1DC9" w:rsidRDefault="003A1DC9" w:rsidP="009D1CDF">
      <w:pPr>
        <w:spacing w:after="0"/>
        <w:jc w:val="both"/>
        <w:rPr>
          <w:rFonts w:ascii="Verdana" w:hAnsi="Verdana"/>
          <w:sz w:val="20"/>
          <w:szCs w:val="20"/>
        </w:rPr>
      </w:pPr>
    </w:p>
    <w:p w14:paraId="6B437DE9" w14:textId="77777777" w:rsidR="003A1DC9" w:rsidRDefault="003A1DC9" w:rsidP="009D1CDF">
      <w:pPr>
        <w:spacing w:after="0"/>
        <w:jc w:val="both"/>
        <w:rPr>
          <w:rFonts w:ascii="Verdana" w:hAnsi="Verdana"/>
          <w:sz w:val="20"/>
          <w:szCs w:val="20"/>
        </w:rPr>
      </w:pPr>
    </w:p>
    <w:p w14:paraId="63A37F84" w14:textId="77777777" w:rsidR="003A1DC9" w:rsidRDefault="003A1DC9" w:rsidP="009D1CDF">
      <w:pPr>
        <w:spacing w:after="0"/>
        <w:jc w:val="both"/>
        <w:rPr>
          <w:rFonts w:ascii="Verdana" w:hAnsi="Verdana"/>
          <w:sz w:val="20"/>
          <w:szCs w:val="20"/>
        </w:rPr>
      </w:pPr>
    </w:p>
    <w:p w14:paraId="39D95BEE" w14:textId="77777777" w:rsidR="004A69E9" w:rsidRDefault="004A69E9" w:rsidP="009D1CDF">
      <w:pPr>
        <w:spacing w:after="0"/>
        <w:jc w:val="both"/>
        <w:rPr>
          <w:rFonts w:ascii="Verdana" w:hAnsi="Verdana"/>
          <w:sz w:val="20"/>
          <w:szCs w:val="20"/>
        </w:rPr>
      </w:pPr>
    </w:p>
    <w:p w14:paraId="77E5A59E" w14:textId="77777777" w:rsidR="004A69E9" w:rsidRDefault="004A69E9" w:rsidP="009D1CDF">
      <w:pPr>
        <w:spacing w:after="0"/>
        <w:jc w:val="both"/>
        <w:rPr>
          <w:rFonts w:ascii="Verdana" w:hAnsi="Verdana"/>
          <w:sz w:val="20"/>
          <w:szCs w:val="20"/>
        </w:rPr>
      </w:pPr>
    </w:p>
    <w:p w14:paraId="2F280F97" w14:textId="77777777" w:rsidR="004A69E9" w:rsidRDefault="004A69E9" w:rsidP="009D1CDF">
      <w:pPr>
        <w:spacing w:after="0"/>
        <w:jc w:val="both"/>
        <w:rPr>
          <w:rFonts w:ascii="Verdana" w:hAnsi="Verdana"/>
          <w:sz w:val="20"/>
          <w:szCs w:val="20"/>
        </w:rPr>
      </w:pPr>
    </w:p>
    <w:p w14:paraId="064BB03A" w14:textId="77777777" w:rsidR="004A69E9" w:rsidRDefault="004A69E9" w:rsidP="009D1CDF">
      <w:pPr>
        <w:spacing w:after="0"/>
        <w:jc w:val="both"/>
        <w:rPr>
          <w:rFonts w:ascii="Verdana" w:hAnsi="Verdana"/>
          <w:sz w:val="20"/>
          <w:szCs w:val="20"/>
        </w:rPr>
      </w:pPr>
    </w:p>
    <w:p w14:paraId="41922B3B" w14:textId="77777777" w:rsidR="004A69E9" w:rsidRDefault="004A69E9" w:rsidP="009D1CDF">
      <w:pPr>
        <w:spacing w:after="0"/>
        <w:jc w:val="both"/>
        <w:rPr>
          <w:rFonts w:ascii="Verdana" w:hAnsi="Verdana"/>
          <w:sz w:val="20"/>
          <w:szCs w:val="20"/>
        </w:rPr>
      </w:pPr>
    </w:p>
    <w:p w14:paraId="50C63481" w14:textId="77777777" w:rsidR="003A1DC9" w:rsidRDefault="003A1DC9" w:rsidP="009D1CDF">
      <w:pPr>
        <w:spacing w:after="0"/>
        <w:jc w:val="both"/>
        <w:rPr>
          <w:rFonts w:ascii="Verdana" w:hAnsi="Verdana"/>
          <w:sz w:val="20"/>
          <w:szCs w:val="20"/>
        </w:rPr>
      </w:pPr>
    </w:p>
    <w:p w14:paraId="5553E4E8" w14:textId="783293A3" w:rsidR="0053476E" w:rsidRDefault="001557DF" w:rsidP="003D69A1">
      <w:pPr>
        <w:spacing w:after="0"/>
        <w:rPr>
          <w:rFonts w:ascii="Verdana" w:hAnsi="Verdana"/>
          <w:b/>
          <w:sz w:val="20"/>
          <w:szCs w:val="20"/>
        </w:rPr>
      </w:pPr>
      <w:r w:rsidRPr="00507671">
        <w:rPr>
          <w:rFonts w:ascii="Verdana" w:hAnsi="Verdana"/>
          <w:b/>
          <w:sz w:val="20"/>
          <w:szCs w:val="20"/>
        </w:rPr>
        <w:lastRenderedPageBreak/>
        <w:t>Categoría II</w:t>
      </w:r>
    </w:p>
    <w:tbl>
      <w:tblPr>
        <w:tblW w:w="9493" w:type="dxa"/>
        <w:tblCellMar>
          <w:left w:w="70" w:type="dxa"/>
          <w:right w:w="70" w:type="dxa"/>
        </w:tblCellMar>
        <w:tblLook w:val="04A0" w:firstRow="1" w:lastRow="0" w:firstColumn="1" w:lastColumn="0" w:noHBand="0" w:noVBand="1"/>
      </w:tblPr>
      <w:tblGrid>
        <w:gridCol w:w="6196"/>
        <w:gridCol w:w="978"/>
        <w:gridCol w:w="1199"/>
        <w:gridCol w:w="1120"/>
      </w:tblGrid>
      <w:tr w:rsidR="009D1CDF" w:rsidRPr="00507671" w14:paraId="375EE172" w14:textId="77777777" w:rsidTr="006A343B">
        <w:trPr>
          <w:trHeight w:val="720"/>
          <w:tblHeader/>
        </w:trPr>
        <w:tc>
          <w:tcPr>
            <w:tcW w:w="6196"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2BB6B19" w14:textId="77777777" w:rsidR="009D1CDF" w:rsidRPr="00C73F29" w:rsidRDefault="009D1CDF">
            <w:pPr>
              <w:spacing w:after="0"/>
              <w:jc w:val="both"/>
              <w:rPr>
                <w:rFonts w:ascii="Verdana" w:hAnsi="Verdana"/>
                <w:b/>
                <w:bCs/>
                <w:sz w:val="16"/>
                <w:szCs w:val="16"/>
              </w:rPr>
            </w:pPr>
            <w:r w:rsidRPr="00C73F29">
              <w:rPr>
                <w:rFonts w:ascii="Verdana" w:hAnsi="Verdana"/>
                <w:b/>
                <w:bCs/>
                <w:sz w:val="16"/>
                <w:szCs w:val="16"/>
              </w:rPr>
              <w:t>Activos</w:t>
            </w:r>
          </w:p>
        </w:tc>
        <w:tc>
          <w:tcPr>
            <w:tcW w:w="3297" w:type="dxa"/>
            <w:gridSpan w:val="3"/>
            <w:tcBorders>
              <w:top w:val="single" w:sz="4" w:space="0" w:color="auto"/>
              <w:left w:val="nil"/>
              <w:bottom w:val="single" w:sz="4" w:space="0" w:color="auto"/>
              <w:right w:val="single" w:sz="4" w:space="0" w:color="auto"/>
            </w:tcBorders>
            <w:shd w:val="clear" w:color="auto" w:fill="D9D9D9"/>
            <w:vAlign w:val="center"/>
            <w:hideMark/>
          </w:tcPr>
          <w:p w14:paraId="6B08457E" w14:textId="77777777" w:rsidR="009D1CDF" w:rsidRPr="00C73F29" w:rsidRDefault="009D1CDF">
            <w:pPr>
              <w:spacing w:after="0"/>
              <w:jc w:val="both"/>
              <w:rPr>
                <w:rFonts w:ascii="Verdana" w:hAnsi="Verdana"/>
                <w:b/>
                <w:bCs/>
                <w:sz w:val="16"/>
                <w:szCs w:val="16"/>
              </w:rPr>
            </w:pPr>
            <w:r w:rsidRPr="00C73F29">
              <w:rPr>
                <w:rFonts w:ascii="Verdana" w:hAnsi="Verdana"/>
                <w:b/>
                <w:bCs/>
                <w:sz w:val="16"/>
                <w:szCs w:val="16"/>
              </w:rPr>
              <w:t>Calificación crediticia soberana de largo plazo</w:t>
            </w:r>
          </w:p>
        </w:tc>
      </w:tr>
      <w:tr w:rsidR="009D1CDF" w:rsidRPr="00507671" w14:paraId="40079CA0" w14:textId="77777777" w:rsidTr="006A343B">
        <w:trPr>
          <w:trHeight w:val="7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BA7C2" w14:textId="77777777" w:rsidR="009D1CDF" w:rsidRPr="00C73F29" w:rsidRDefault="009D1CDF">
            <w:pPr>
              <w:spacing w:after="0"/>
              <w:jc w:val="both"/>
              <w:rPr>
                <w:rFonts w:ascii="Verdana" w:hAnsi="Verdana"/>
                <w:b/>
                <w:bCs/>
                <w:sz w:val="16"/>
                <w:szCs w:val="16"/>
              </w:rPr>
            </w:pPr>
          </w:p>
        </w:tc>
        <w:tc>
          <w:tcPr>
            <w:tcW w:w="978" w:type="dxa"/>
            <w:tcBorders>
              <w:top w:val="single" w:sz="4" w:space="0" w:color="auto"/>
              <w:left w:val="nil"/>
              <w:bottom w:val="single" w:sz="4" w:space="0" w:color="auto"/>
              <w:right w:val="single" w:sz="4" w:space="0" w:color="auto"/>
            </w:tcBorders>
            <w:shd w:val="clear" w:color="auto" w:fill="D9D9D9"/>
            <w:vAlign w:val="center"/>
            <w:hideMark/>
          </w:tcPr>
          <w:p w14:paraId="4A5F930B" w14:textId="77777777" w:rsidR="009D1CDF" w:rsidRPr="00C73F29" w:rsidRDefault="009D1CDF">
            <w:pPr>
              <w:spacing w:after="0"/>
              <w:jc w:val="both"/>
              <w:rPr>
                <w:rFonts w:ascii="Verdana" w:hAnsi="Verdana"/>
                <w:b/>
                <w:bCs/>
                <w:sz w:val="16"/>
                <w:szCs w:val="16"/>
              </w:rPr>
            </w:pPr>
            <w:r w:rsidRPr="00C73F29">
              <w:rPr>
                <w:rFonts w:ascii="Verdana" w:hAnsi="Verdana"/>
                <w:b/>
                <w:bCs/>
                <w:sz w:val="16"/>
                <w:szCs w:val="16"/>
              </w:rPr>
              <w:t>AAA hasta BBB-</w:t>
            </w:r>
          </w:p>
        </w:tc>
        <w:tc>
          <w:tcPr>
            <w:tcW w:w="1199" w:type="dxa"/>
            <w:tcBorders>
              <w:top w:val="single" w:sz="4" w:space="0" w:color="auto"/>
              <w:left w:val="nil"/>
              <w:bottom w:val="single" w:sz="4" w:space="0" w:color="auto"/>
              <w:right w:val="single" w:sz="4" w:space="0" w:color="auto"/>
            </w:tcBorders>
            <w:shd w:val="clear" w:color="auto" w:fill="D9D9D9"/>
            <w:vAlign w:val="center"/>
            <w:hideMark/>
          </w:tcPr>
          <w:p w14:paraId="4F98F778" w14:textId="77777777" w:rsidR="009D1CDF" w:rsidRPr="00C73F29" w:rsidRDefault="009D1CDF">
            <w:pPr>
              <w:spacing w:after="0"/>
              <w:jc w:val="both"/>
              <w:rPr>
                <w:rFonts w:ascii="Verdana" w:hAnsi="Verdana"/>
                <w:b/>
                <w:bCs/>
                <w:sz w:val="16"/>
                <w:szCs w:val="16"/>
              </w:rPr>
            </w:pPr>
            <w:r w:rsidRPr="00C73F29">
              <w:rPr>
                <w:rFonts w:ascii="Verdana" w:hAnsi="Verdana"/>
                <w:b/>
                <w:bCs/>
                <w:sz w:val="16"/>
                <w:szCs w:val="16"/>
              </w:rPr>
              <w:t>BB+ hasta B-</w:t>
            </w:r>
          </w:p>
        </w:tc>
        <w:tc>
          <w:tcPr>
            <w:tcW w:w="1120" w:type="dxa"/>
            <w:tcBorders>
              <w:top w:val="single" w:sz="4" w:space="0" w:color="auto"/>
              <w:left w:val="nil"/>
              <w:bottom w:val="single" w:sz="4" w:space="0" w:color="auto"/>
              <w:right w:val="single" w:sz="4" w:space="0" w:color="auto"/>
            </w:tcBorders>
            <w:shd w:val="clear" w:color="auto" w:fill="D9D9D9"/>
            <w:vAlign w:val="center"/>
            <w:hideMark/>
          </w:tcPr>
          <w:p w14:paraId="3A5A94B4" w14:textId="77777777" w:rsidR="009D1CDF" w:rsidRPr="00C73F29" w:rsidRDefault="009D1CDF">
            <w:pPr>
              <w:spacing w:after="0"/>
              <w:jc w:val="both"/>
              <w:rPr>
                <w:rFonts w:ascii="Verdana" w:hAnsi="Verdana"/>
                <w:b/>
                <w:bCs/>
                <w:sz w:val="16"/>
                <w:szCs w:val="16"/>
              </w:rPr>
            </w:pPr>
            <w:r w:rsidRPr="00C73F29">
              <w:rPr>
                <w:rFonts w:ascii="Verdana" w:hAnsi="Verdana"/>
                <w:b/>
                <w:bCs/>
                <w:sz w:val="16"/>
                <w:szCs w:val="16"/>
              </w:rPr>
              <w:t>Inferior a B-</w:t>
            </w:r>
          </w:p>
        </w:tc>
      </w:tr>
      <w:tr w:rsidR="009D1CDF" w:rsidRPr="00507671" w14:paraId="479585C8" w14:textId="77777777" w:rsidTr="006A343B">
        <w:trPr>
          <w:trHeight w:val="456"/>
          <w:tblHeader/>
        </w:trPr>
        <w:tc>
          <w:tcPr>
            <w:tcW w:w="6196" w:type="dxa"/>
            <w:tcBorders>
              <w:top w:val="nil"/>
              <w:left w:val="single" w:sz="4" w:space="0" w:color="auto"/>
              <w:bottom w:val="single" w:sz="4" w:space="0" w:color="auto"/>
              <w:right w:val="single" w:sz="4" w:space="0" w:color="auto"/>
            </w:tcBorders>
            <w:shd w:val="clear" w:color="auto" w:fill="FFFFFF"/>
            <w:vAlign w:val="center"/>
            <w:hideMark/>
          </w:tcPr>
          <w:p w14:paraId="7F107ACA" w14:textId="77777777" w:rsidR="009D1CDF" w:rsidRPr="00C73F29" w:rsidRDefault="009D1CDF">
            <w:pPr>
              <w:spacing w:after="0"/>
              <w:jc w:val="both"/>
              <w:rPr>
                <w:rFonts w:ascii="Verdana" w:hAnsi="Verdana"/>
                <w:sz w:val="16"/>
                <w:szCs w:val="16"/>
              </w:rPr>
            </w:pPr>
            <w:r w:rsidRPr="00C73F29">
              <w:rPr>
                <w:rFonts w:ascii="Verdana" w:hAnsi="Verdana"/>
                <w:sz w:val="16"/>
                <w:szCs w:val="16"/>
              </w:rPr>
              <w:t>Depósitos a término en establecimientos de crédito sometidos a la vigilancia de la SFC</w:t>
            </w:r>
          </w:p>
        </w:tc>
        <w:tc>
          <w:tcPr>
            <w:tcW w:w="978" w:type="dxa"/>
            <w:vMerge w:val="restart"/>
            <w:tcBorders>
              <w:top w:val="nil"/>
              <w:left w:val="single" w:sz="4" w:space="0" w:color="auto"/>
              <w:bottom w:val="nil"/>
              <w:right w:val="single" w:sz="4" w:space="0" w:color="auto"/>
            </w:tcBorders>
            <w:vAlign w:val="center"/>
            <w:hideMark/>
          </w:tcPr>
          <w:p w14:paraId="3643A154" w14:textId="77777777" w:rsidR="009D1CDF" w:rsidRPr="00C73F29" w:rsidRDefault="009D1CDF">
            <w:pPr>
              <w:spacing w:after="0"/>
              <w:jc w:val="both"/>
              <w:rPr>
                <w:rFonts w:ascii="Verdana" w:hAnsi="Verdana"/>
                <w:sz w:val="16"/>
                <w:szCs w:val="16"/>
              </w:rPr>
            </w:pPr>
            <w:r w:rsidRPr="00C73F29">
              <w:rPr>
                <w:rFonts w:ascii="Verdana" w:hAnsi="Verdana"/>
                <w:sz w:val="16"/>
                <w:szCs w:val="16"/>
              </w:rPr>
              <w:t>1,5%</w:t>
            </w:r>
          </w:p>
        </w:tc>
        <w:tc>
          <w:tcPr>
            <w:tcW w:w="1199" w:type="dxa"/>
            <w:vMerge w:val="restart"/>
            <w:tcBorders>
              <w:top w:val="nil"/>
              <w:left w:val="single" w:sz="4" w:space="0" w:color="auto"/>
              <w:bottom w:val="single" w:sz="4" w:space="0" w:color="000000"/>
              <w:right w:val="single" w:sz="4" w:space="0" w:color="auto"/>
            </w:tcBorders>
            <w:vAlign w:val="center"/>
            <w:hideMark/>
          </w:tcPr>
          <w:p w14:paraId="5B90D66D" w14:textId="77777777" w:rsidR="009D1CDF" w:rsidRPr="00C73F29" w:rsidRDefault="009D1CDF">
            <w:pPr>
              <w:spacing w:after="0"/>
              <w:jc w:val="both"/>
              <w:rPr>
                <w:rFonts w:ascii="Verdana" w:hAnsi="Verdana"/>
                <w:sz w:val="16"/>
                <w:szCs w:val="16"/>
              </w:rPr>
            </w:pPr>
            <w:r w:rsidRPr="00C73F29">
              <w:rPr>
                <w:rFonts w:ascii="Verdana" w:hAnsi="Verdana"/>
                <w:sz w:val="16"/>
                <w:szCs w:val="16"/>
              </w:rPr>
              <w:t>4,5%</w:t>
            </w:r>
          </w:p>
        </w:tc>
        <w:tc>
          <w:tcPr>
            <w:tcW w:w="1120" w:type="dxa"/>
            <w:vMerge w:val="restart"/>
            <w:tcBorders>
              <w:top w:val="nil"/>
              <w:left w:val="single" w:sz="4" w:space="0" w:color="auto"/>
              <w:bottom w:val="single" w:sz="4" w:space="0" w:color="000000"/>
              <w:right w:val="single" w:sz="4" w:space="0" w:color="auto"/>
            </w:tcBorders>
            <w:vAlign w:val="center"/>
            <w:hideMark/>
          </w:tcPr>
          <w:p w14:paraId="5E7EF54D" w14:textId="77777777" w:rsidR="009D1CDF" w:rsidRPr="00C73F29" w:rsidRDefault="009D1CDF">
            <w:pPr>
              <w:spacing w:after="0"/>
              <w:jc w:val="both"/>
              <w:rPr>
                <w:rFonts w:ascii="Verdana" w:hAnsi="Verdana"/>
                <w:sz w:val="16"/>
                <w:szCs w:val="16"/>
              </w:rPr>
            </w:pPr>
            <w:r w:rsidRPr="00C73F29">
              <w:rPr>
                <w:rFonts w:ascii="Verdana" w:hAnsi="Verdana"/>
                <w:sz w:val="16"/>
                <w:szCs w:val="16"/>
              </w:rPr>
              <w:t>8,5%</w:t>
            </w:r>
          </w:p>
        </w:tc>
      </w:tr>
      <w:tr w:rsidR="009D1CDF" w:rsidRPr="00507671" w14:paraId="1DD6087A" w14:textId="77777777" w:rsidTr="006A343B">
        <w:trPr>
          <w:trHeight w:val="684"/>
          <w:tblHeader/>
        </w:trPr>
        <w:tc>
          <w:tcPr>
            <w:tcW w:w="6196" w:type="dxa"/>
            <w:tcBorders>
              <w:top w:val="nil"/>
              <w:left w:val="single" w:sz="4" w:space="0" w:color="auto"/>
              <w:bottom w:val="single" w:sz="4" w:space="0" w:color="auto"/>
              <w:right w:val="single" w:sz="4" w:space="0" w:color="auto"/>
            </w:tcBorders>
            <w:shd w:val="clear" w:color="auto" w:fill="FFFFFF"/>
            <w:vAlign w:val="center"/>
            <w:hideMark/>
          </w:tcPr>
          <w:p w14:paraId="4E3A1855" w14:textId="77777777" w:rsidR="009D1CDF" w:rsidRPr="00C73F29" w:rsidRDefault="009D1CDF">
            <w:pPr>
              <w:spacing w:after="0"/>
              <w:jc w:val="both"/>
              <w:rPr>
                <w:rFonts w:ascii="Verdana" w:hAnsi="Verdana"/>
                <w:sz w:val="16"/>
                <w:szCs w:val="16"/>
              </w:rPr>
            </w:pPr>
            <w:r w:rsidRPr="00C73F29">
              <w:rPr>
                <w:rFonts w:ascii="Verdana" w:hAnsi="Verdana"/>
                <w:sz w:val="16"/>
                <w:szCs w:val="16"/>
              </w:rPr>
              <w:t>Créditos garantizados incondicionalmente con títulos o valores emitidos por la Nación o por el Banco de la República o por Gobiernos o Bancos Centrales de países que autorice expresamente la SFC</w:t>
            </w:r>
          </w:p>
        </w:tc>
        <w:tc>
          <w:tcPr>
            <w:tcW w:w="0" w:type="auto"/>
            <w:vMerge/>
            <w:tcBorders>
              <w:top w:val="nil"/>
              <w:left w:val="single" w:sz="4" w:space="0" w:color="auto"/>
              <w:bottom w:val="nil"/>
              <w:right w:val="single" w:sz="4" w:space="0" w:color="auto"/>
            </w:tcBorders>
            <w:vAlign w:val="center"/>
            <w:hideMark/>
          </w:tcPr>
          <w:p w14:paraId="25C44414" w14:textId="77777777" w:rsidR="009D1CDF" w:rsidRPr="00C73F29" w:rsidRDefault="009D1CDF">
            <w:pPr>
              <w:spacing w:after="0"/>
              <w:jc w:val="both"/>
              <w:rPr>
                <w:rFonts w:ascii="Verdana" w:hAnsi="Verdana"/>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75748CE0" w14:textId="77777777" w:rsidR="009D1CDF" w:rsidRPr="00C73F29" w:rsidRDefault="009D1CDF">
            <w:pPr>
              <w:spacing w:after="0"/>
              <w:jc w:val="both"/>
              <w:rPr>
                <w:rFonts w:ascii="Verdana" w:hAnsi="Verdana"/>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34D76DF" w14:textId="77777777" w:rsidR="009D1CDF" w:rsidRPr="00C73F29" w:rsidRDefault="009D1CDF">
            <w:pPr>
              <w:spacing w:after="0"/>
              <w:jc w:val="both"/>
              <w:rPr>
                <w:rFonts w:ascii="Verdana" w:hAnsi="Verdana"/>
                <w:sz w:val="16"/>
                <w:szCs w:val="16"/>
              </w:rPr>
            </w:pPr>
          </w:p>
        </w:tc>
      </w:tr>
      <w:tr w:rsidR="009D1CDF" w:rsidRPr="00507671" w14:paraId="3BC251C2" w14:textId="77777777" w:rsidTr="006A343B">
        <w:trPr>
          <w:trHeight w:val="912"/>
          <w:tblHeader/>
        </w:trPr>
        <w:tc>
          <w:tcPr>
            <w:tcW w:w="6196" w:type="dxa"/>
            <w:tcBorders>
              <w:top w:val="nil"/>
              <w:left w:val="single" w:sz="4" w:space="0" w:color="auto"/>
              <w:bottom w:val="single" w:sz="4" w:space="0" w:color="auto"/>
              <w:right w:val="single" w:sz="4" w:space="0" w:color="auto"/>
            </w:tcBorders>
            <w:shd w:val="clear" w:color="auto" w:fill="FFFFFF"/>
            <w:vAlign w:val="center"/>
            <w:hideMark/>
          </w:tcPr>
          <w:p w14:paraId="37100464" w14:textId="77777777" w:rsidR="009D1CDF" w:rsidRPr="00C73F29" w:rsidRDefault="009D1CDF">
            <w:pPr>
              <w:spacing w:after="0"/>
              <w:jc w:val="both"/>
              <w:rPr>
                <w:rFonts w:ascii="Verdana" w:hAnsi="Verdana"/>
                <w:sz w:val="16"/>
                <w:szCs w:val="16"/>
              </w:rPr>
            </w:pPr>
            <w:r w:rsidRPr="00C73F29">
              <w:rPr>
                <w:rFonts w:ascii="Verdana" w:hAnsi="Verdana"/>
                <w:sz w:val="16"/>
                <w:szCs w:val="16"/>
              </w:rPr>
              <w:t xml:space="preserve">La exposición neta en las operaciones de reporto o repo, operaciones simultáneas y </w:t>
            </w:r>
            <w:proofErr w:type="spellStart"/>
            <w:r w:rsidRPr="00C73F29">
              <w:rPr>
                <w:rFonts w:ascii="Verdana" w:hAnsi="Verdana"/>
                <w:sz w:val="16"/>
                <w:szCs w:val="16"/>
              </w:rPr>
              <w:t>TTVs</w:t>
            </w:r>
            <w:proofErr w:type="spellEnd"/>
            <w:r w:rsidRPr="00C73F29">
              <w:rPr>
                <w:rFonts w:ascii="Verdana" w:hAnsi="Verdana"/>
                <w:sz w:val="16"/>
                <w:szCs w:val="16"/>
              </w:rPr>
              <w:t xml:space="preserve"> siempre que la contraparte este vigilada por la SFC distinta del Banco de la República o entidad pública de orden nacional o un fondo mutuo de inversión controlado</w:t>
            </w:r>
          </w:p>
        </w:tc>
        <w:tc>
          <w:tcPr>
            <w:tcW w:w="0" w:type="auto"/>
            <w:vMerge/>
            <w:tcBorders>
              <w:top w:val="nil"/>
              <w:left w:val="single" w:sz="4" w:space="0" w:color="auto"/>
              <w:bottom w:val="nil"/>
              <w:right w:val="single" w:sz="4" w:space="0" w:color="auto"/>
            </w:tcBorders>
            <w:vAlign w:val="center"/>
            <w:hideMark/>
          </w:tcPr>
          <w:p w14:paraId="7C854285" w14:textId="77777777" w:rsidR="009D1CDF" w:rsidRPr="00C73F29" w:rsidRDefault="009D1CDF">
            <w:pPr>
              <w:spacing w:after="0"/>
              <w:jc w:val="both"/>
              <w:rPr>
                <w:rFonts w:ascii="Verdana" w:hAnsi="Verdana"/>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1F55F27D" w14:textId="77777777" w:rsidR="009D1CDF" w:rsidRPr="00C73F29" w:rsidRDefault="009D1CDF">
            <w:pPr>
              <w:spacing w:after="0"/>
              <w:jc w:val="both"/>
              <w:rPr>
                <w:rFonts w:ascii="Verdana" w:hAnsi="Verdana"/>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F4456CA" w14:textId="77777777" w:rsidR="009D1CDF" w:rsidRPr="00C73F29" w:rsidRDefault="009D1CDF">
            <w:pPr>
              <w:spacing w:after="0"/>
              <w:jc w:val="both"/>
              <w:rPr>
                <w:rFonts w:ascii="Verdana" w:hAnsi="Verdana"/>
                <w:sz w:val="16"/>
                <w:szCs w:val="16"/>
              </w:rPr>
            </w:pPr>
          </w:p>
        </w:tc>
      </w:tr>
      <w:tr w:rsidR="009D1CDF" w:rsidRPr="00507671" w14:paraId="7D623917" w14:textId="77777777" w:rsidTr="006A343B">
        <w:trPr>
          <w:trHeight w:val="912"/>
          <w:tblHeader/>
        </w:trPr>
        <w:tc>
          <w:tcPr>
            <w:tcW w:w="6196" w:type="dxa"/>
            <w:tcBorders>
              <w:top w:val="nil"/>
              <w:left w:val="single" w:sz="4" w:space="0" w:color="auto"/>
              <w:bottom w:val="single" w:sz="4" w:space="0" w:color="auto"/>
              <w:right w:val="single" w:sz="4" w:space="0" w:color="auto"/>
            </w:tcBorders>
            <w:shd w:val="clear" w:color="auto" w:fill="FFFFFF"/>
            <w:vAlign w:val="center"/>
            <w:hideMark/>
          </w:tcPr>
          <w:p w14:paraId="28C7592B" w14:textId="77777777" w:rsidR="009D1CDF" w:rsidRPr="00C73F29" w:rsidRDefault="009D1CDF">
            <w:pPr>
              <w:spacing w:after="0"/>
              <w:jc w:val="both"/>
              <w:rPr>
                <w:rFonts w:ascii="Verdana" w:hAnsi="Verdana"/>
                <w:sz w:val="16"/>
                <w:szCs w:val="16"/>
              </w:rPr>
            </w:pPr>
            <w:r w:rsidRPr="00C73F29">
              <w:rPr>
                <w:rFonts w:ascii="Verdana" w:hAnsi="Verdana"/>
                <w:sz w:val="16"/>
                <w:szCs w:val="16"/>
              </w:rPr>
              <w:t>La exposición crediticia en las operaciones con instrumentos financieros derivados siempre que la contraparte este vigilada por la SFC distinta del Banco de la República o una entidad pública de orden nacional o un fondo mutuo de inversión controlado</w:t>
            </w:r>
          </w:p>
        </w:tc>
        <w:tc>
          <w:tcPr>
            <w:tcW w:w="0" w:type="auto"/>
            <w:vMerge/>
            <w:tcBorders>
              <w:top w:val="nil"/>
              <w:left w:val="single" w:sz="4" w:space="0" w:color="auto"/>
              <w:bottom w:val="nil"/>
              <w:right w:val="single" w:sz="4" w:space="0" w:color="auto"/>
            </w:tcBorders>
            <w:vAlign w:val="center"/>
            <w:hideMark/>
          </w:tcPr>
          <w:p w14:paraId="02B48A5C" w14:textId="77777777" w:rsidR="009D1CDF" w:rsidRPr="00C73F29" w:rsidRDefault="009D1CDF">
            <w:pPr>
              <w:spacing w:after="0"/>
              <w:jc w:val="both"/>
              <w:rPr>
                <w:rFonts w:ascii="Verdana" w:hAnsi="Verdana"/>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632CA6B0" w14:textId="77777777" w:rsidR="009D1CDF" w:rsidRPr="00C73F29" w:rsidRDefault="009D1CDF">
            <w:pPr>
              <w:spacing w:after="0"/>
              <w:jc w:val="both"/>
              <w:rPr>
                <w:rFonts w:ascii="Verdana" w:hAnsi="Verdana"/>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4303A1C7" w14:textId="77777777" w:rsidR="009D1CDF" w:rsidRPr="00C73F29" w:rsidRDefault="009D1CDF">
            <w:pPr>
              <w:spacing w:after="0"/>
              <w:jc w:val="both"/>
              <w:rPr>
                <w:rFonts w:ascii="Verdana" w:hAnsi="Verdana"/>
                <w:sz w:val="16"/>
                <w:szCs w:val="16"/>
              </w:rPr>
            </w:pPr>
          </w:p>
        </w:tc>
      </w:tr>
      <w:tr w:rsidR="009D1CDF" w:rsidRPr="00507671" w14:paraId="5EEEFCC1" w14:textId="77777777" w:rsidTr="006A343B">
        <w:trPr>
          <w:trHeight w:val="413"/>
          <w:tblHeader/>
        </w:trPr>
        <w:tc>
          <w:tcPr>
            <w:tcW w:w="6196" w:type="dxa"/>
            <w:tcBorders>
              <w:top w:val="nil"/>
              <w:left w:val="single" w:sz="4" w:space="0" w:color="auto"/>
              <w:bottom w:val="single" w:sz="4" w:space="0" w:color="auto"/>
              <w:right w:val="single" w:sz="4" w:space="0" w:color="auto"/>
            </w:tcBorders>
            <w:shd w:val="clear" w:color="auto" w:fill="FFFFFF"/>
            <w:vAlign w:val="center"/>
            <w:hideMark/>
          </w:tcPr>
          <w:p w14:paraId="3C35137A" w14:textId="77777777" w:rsidR="009D1CDF" w:rsidRPr="00C73F29" w:rsidRDefault="009D1CDF">
            <w:pPr>
              <w:spacing w:after="0"/>
              <w:jc w:val="both"/>
              <w:rPr>
                <w:rFonts w:ascii="Verdana" w:hAnsi="Verdana"/>
                <w:sz w:val="16"/>
                <w:szCs w:val="16"/>
              </w:rPr>
            </w:pPr>
            <w:r w:rsidRPr="00C73F29">
              <w:rPr>
                <w:rFonts w:ascii="Verdana" w:hAnsi="Verdana"/>
                <w:sz w:val="16"/>
                <w:szCs w:val="16"/>
              </w:rPr>
              <w:t>Cuentas por cobrar por contratos de coaseguro con aseguradoras vigiladas por la SFC que cuenten con una calificación de grado de inversión</w:t>
            </w:r>
          </w:p>
        </w:tc>
        <w:tc>
          <w:tcPr>
            <w:tcW w:w="0" w:type="auto"/>
            <w:vMerge/>
            <w:tcBorders>
              <w:top w:val="nil"/>
              <w:left w:val="single" w:sz="4" w:space="0" w:color="auto"/>
              <w:bottom w:val="nil"/>
              <w:right w:val="single" w:sz="4" w:space="0" w:color="auto"/>
            </w:tcBorders>
            <w:vAlign w:val="center"/>
            <w:hideMark/>
          </w:tcPr>
          <w:p w14:paraId="5B390D5B" w14:textId="77777777" w:rsidR="009D1CDF" w:rsidRPr="00C73F29" w:rsidRDefault="009D1CDF">
            <w:pPr>
              <w:spacing w:after="0"/>
              <w:jc w:val="both"/>
              <w:rPr>
                <w:rFonts w:ascii="Verdana" w:hAnsi="Verdana"/>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36C23453" w14:textId="77777777" w:rsidR="009D1CDF" w:rsidRPr="00C73F29" w:rsidRDefault="009D1CDF">
            <w:pPr>
              <w:spacing w:after="0"/>
              <w:jc w:val="both"/>
              <w:rPr>
                <w:rFonts w:ascii="Verdana" w:hAnsi="Verdana"/>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14:paraId="535E2CF1" w14:textId="77777777" w:rsidR="009D1CDF" w:rsidRPr="00C73F29" w:rsidRDefault="009D1CDF">
            <w:pPr>
              <w:spacing w:after="0"/>
              <w:jc w:val="both"/>
              <w:rPr>
                <w:rFonts w:ascii="Verdana" w:hAnsi="Verdana"/>
                <w:sz w:val="16"/>
                <w:szCs w:val="16"/>
              </w:rPr>
            </w:pPr>
          </w:p>
        </w:tc>
      </w:tr>
      <w:tr w:rsidR="009D1CDF" w:rsidRPr="00507671" w14:paraId="46AD45E6" w14:textId="77777777" w:rsidTr="006A343B">
        <w:trPr>
          <w:trHeight w:val="684"/>
          <w:tblHeader/>
        </w:trPr>
        <w:tc>
          <w:tcPr>
            <w:tcW w:w="6196" w:type="dxa"/>
            <w:tcBorders>
              <w:top w:val="nil"/>
              <w:left w:val="single" w:sz="4" w:space="0" w:color="auto"/>
              <w:bottom w:val="single" w:sz="4" w:space="0" w:color="auto"/>
              <w:right w:val="single" w:sz="4" w:space="0" w:color="auto"/>
            </w:tcBorders>
            <w:shd w:val="clear" w:color="auto" w:fill="FFFFFF"/>
            <w:vAlign w:val="center"/>
            <w:hideMark/>
          </w:tcPr>
          <w:p w14:paraId="116364D6" w14:textId="77777777" w:rsidR="009D1CDF" w:rsidRPr="00C73F29" w:rsidRDefault="009D1CDF">
            <w:pPr>
              <w:spacing w:after="0"/>
              <w:jc w:val="both"/>
              <w:rPr>
                <w:rFonts w:ascii="Verdana" w:hAnsi="Verdana"/>
                <w:bCs/>
                <w:sz w:val="16"/>
                <w:szCs w:val="16"/>
              </w:rPr>
            </w:pPr>
            <w:r w:rsidRPr="00C73F29">
              <w:rPr>
                <w:rFonts w:ascii="Verdana" w:hAnsi="Verdana"/>
                <w:bCs/>
                <w:sz w:val="16"/>
                <w:szCs w:val="16"/>
              </w:rPr>
              <w:t>Depósitos a la vista en bancos del exterior con calificación de grado de inversión otorgada por una sociedad calificadora reconocida internacionalmente</w:t>
            </w:r>
          </w:p>
        </w:tc>
        <w:tc>
          <w:tcPr>
            <w:tcW w:w="3297" w:type="dxa"/>
            <w:gridSpan w:val="3"/>
            <w:tcBorders>
              <w:top w:val="single" w:sz="4" w:space="0" w:color="auto"/>
              <w:left w:val="nil"/>
              <w:bottom w:val="single" w:sz="4" w:space="0" w:color="auto"/>
              <w:right w:val="single" w:sz="4" w:space="0" w:color="auto"/>
            </w:tcBorders>
            <w:vAlign w:val="center"/>
            <w:hideMark/>
          </w:tcPr>
          <w:p w14:paraId="2D202EB9" w14:textId="77777777" w:rsidR="009D1CDF" w:rsidRPr="00C73F29" w:rsidRDefault="009D1CDF">
            <w:pPr>
              <w:spacing w:after="0"/>
              <w:jc w:val="both"/>
              <w:rPr>
                <w:rFonts w:ascii="Verdana" w:hAnsi="Verdana"/>
                <w:sz w:val="16"/>
                <w:szCs w:val="16"/>
              </w:rPr>
            </w:pPr>
            <w:r w:rsidRPr="00C73F29">
              <w:rPr>
                <w:rFonts w:ascii="Verdana" w:hAnsi="Verdana"/>
                <w:sz w:val="16"/>
                <w:szCs w:val="16"/>
              </w:rPr>
              <w:t>1,5%</w:t>
            </w:r>
          </w:p>
        </w:tc>
      </w:tr>
      <w:tr w:rsidR="009D1CDF" w:rsidRPr="00507671" w14:paraId="52FFE052" w14:textId="77777777" w:rsidTr="006A343B">
        <w:trPr>
          <w:trHeight w:val="315"/>
          <w:tblHeader/>
        </w:trPr>
        <w:tc>
          <w:tcPr>
            <w:tcW w:w="6196" w:type="dxa"/>
            <w:tcBorders>
              <w:top w:val="nil"/>
              <w:left w:val="single" w:sz="4" w:space="0" w:color="auto"/>
              <w:bottom w:val="single" w:sz="4" w:space="0" w:color="auto"/>
              <w:right w:val="single" w:sz="4" w:space="0" w:color="auto"/>
            </w:tcBorders>
            <w:shd w:val="clear" w:color="auto" w:fill="FFFFFF"/>
            <w:vAlign w:val="center"/>
            <w:hideMark/>
          </w:tcPr>
          <w:p w14:paraId="005F6878" w14:textId="77777777" w:rsidR="009D1CDF" w:rsidRPr="00C73F29" w:rsidRDefault="009D1CDF">
            <w:pPr>
              <w:spacing w:after="0"/>
              <w:jc w:val="both"/>
              <w:rPr>
                <w:rFonts w:ascii="Verdana" w:hAnsi="Verdana"/>
                <w:bCs/>
                <w:sz w:val="16"/>
                <w:szCs w:val="16"/>
              </w:rPr>
            </w:pPr>
            <w:r w:rsidRPr="00C73F29">
              <w:rPr>
                <w:rFonts w:ascii="Verdana" w:hAnsi="Verdana"/>
                <w:bCs/>
                <w:sz w:val="16"/>
                <w:szCs w:val="16"/>
              </w:rPr>
              <w:t>Títulos o valores emitidos por emisores del exterior que cuenten con una calificación de grado de inversión otorgada por una sociedad calificadora reconocida internacionalmente</w:t>
            </w:r>
          </w:p>
        </w:tc>
        <w:tc>
          <w:tcPr>
            <w:tcW w:w="3297" w:type="dxa"/>
            <w:gridSpan w:val="3"/>
            <w:tcBorders>
              <w:top w:val="single" w:sz="4" w:space="0" w:color="auto"/>
              <w:left w:val="nil"/>
              <w:bottom w:val="single" w:sz="4" w:space="0" w:color="auto"/>
              <w:right w:val="single" w:sz="4" w:space="0" w:color="auto"/>
            </w:tcBorders>
            <w:vAlign w:val="center"/>
            <w:hideMark/>
          </w:tcPr>
          <w:p w14:paraId="673763E3" w14:textId="77777777" w:rsidR="009D1CDF" w:rsidRPr="00C73F29" w:rsidRDefault="009D1CDF">
            <w:pPr>
              <w:spacing w:after="0"/>
              <w:jc w:val="both"/>
              <w:rPr>
                <w:rFonts w:ascii="Verdana" w:hAnsi="Verdana"/>
                <w:sz w:val="16"/>
                <w:szCs w:val="16"/>
              </w:rPr>
            </w:pPr>
            <w:r w:rsidRPr="00C73F29">
              <w:rPr>
                <w:rFonts w:ascii="Verdana" w:hAnsi="Verdana"/>
                <w:sz w:val="16"/>
                <w:szCs w:val="16"/>
              </w:rPr>
              <w:t>1,5%</w:t>
            </w:r>
          </w:p>
        </w:tc>
      </w:tr>
    </w:tbl>
    <w:p w14:paraId="3A5BA78D" w14:textId="77777777" w:rsidR="009D1CDF" w:rsidRDefault="009D1CDF" w:rsidP="009D1CDF">
      <w:pPr>
        <w:spacing w:after="0"/>
        <w:jc w:val="both"/>
        <w:rPr>
          <w:rFonts w:ascii="Verdana" w:hAnsi="Verdana"/>
          <w:b/>
          <w:sz w:val="20"/>
          <w:szCs w:val="20"/>
        </w:rPr>
      </w:pPr>
    </w:p>
    <w:p w14:paraId="408E6CFD" w14:textId="77777777" w:rsidR="00657B80" w:rsidRDefault="00657B80" w:rsidP="009D1CDF">
      <w:pPr>
        <w:spacing w:after="0"/>
        <w:jc w:val="both"/>
        <w:rPr>
          <w:rFonts w:ascii="Verdana" w:hAnsi="Verdana"/>
          <w:b/>
          <w:sz w:val="20"/>
          <w:szCs w:val="20"/>
        </w:rPr>
      </w:pPr>
    </w:p>
    <w:p w14:paraId="1C95B716" w14:textId="77777777" w:rsidR="00657B80" w:rsidRPr="00507671" w:rsidRDefault="00657B80" w:rsidP="009D1CDF">
      <w:pPr>
        <w:spacing w:after="0"/>
        <w:jc w:val="both"/>
        <w:rPr>
          <w:rFonts w:ascii="Verdana" w:hAnsi="Verdana"/>
          <w:b/>
          <w:sz w:val="20"/>
          <w:szCs w:val="20"/>
        </w:rPr>
      </w:pPr>
    </w:p>
    <w:tbl>
      <w:tblPr>
        <w:tblpPr w:leftFromText="141" w:rightFromText="141" w:horzAnchor="page" w:tblpX="2221" w:tblpY="260"/>
        <w:tblW w:w="8770" w:type="dxa"/>
        <w:tblCellMar>
          <w:left w:w="70" w:type="dxa"/>
          <w:right w:w="70" w:type="dxa"/>
        </w:tblCellMar>
        <w:tblLook w:val="04A0" w:firstRow="1" w:lastRow="0" w:firstColumn="1" w:lastColumn="0" w:noHBand="0" w:noVBand="1"/>
      </w:tblPr>
      <w:tblGrid>
        <w:gridCol w:w="5648"/>
        <w:gridCol w:w="1168"/>
        <w:gridCol w:w="643"/>
        <w:gridCol w:w="278"/>
        <w:gridCol w:w="376"/>
        <w:gridCol w:w="657"/>
      </w:tblGrid>
      <w:tr w:rsidR="009D1CDF" w:rsidRPr="00507671" w14:paraId="7B6C8ED4" w14:textId="77777777" w:rsidTr="007579D6">
        <w:trPr>
          <w:trHeight w:val="654"/>
          <w:tblHeader/>
        </w:trPr>
        <w:tc>
          <w:tcPr>
            <w:tcW w:w="564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A502828" w14:textId="77777777" w:rsidR="009D1CDF" w:rsidRPr="00C73F29" w:rsidRDefault="009D1CDF" w:rsidP="007579D6">
            <w:pPr>
              <w:spacing w:after="0"/>
              <w:jc w:val="center"/>
              <w:rPr>
                <w:rFonts w:ascii="Verdana" w:hAnsi="Verdana"/>
                <w:b/>
                <w:bCs/>
                <w:sz w:val="16"/>
                <w:szCs w:val="16"/>
              </w:rPr>
            </w:pPr>
            <w:r w:rsidRPr="00C73F29">
              <w:rPr>
                <w:rFonts w:ascii="Verdana" w:hAnsi="Verdana"/>
                <w:b/>
                <w:bCs/>
                <w:sz w:val="16"/>
                <w:szCs w:val="16"/>
              </w:rPr>
              <w:lastRenderedPageBreak/>
              <w:t>Activos</w:t>
            </w:r>
          </w:p>
        </w:tc>
        <w:tc>
          <w:tcPr>
            <w:tcW w:w="3122" w:type="dxa"/>
            <w:gridSpan w:val="5"/>
            <w:tcBorders>
              <w:top w:val="single" w:sz="4" w:space="0" w:color="auto"/>
              <w:left w:val="nil"/>
              <w:bottom w:val="single" w:sz="4" w:space="0" w:color="auto"/>
              <w:right w:val="single" w:sz="4" w:space="0" w:color="auto"/>
            </w:tcBorders>
            <w:shd w:val="clear" w:color="auto" w:fill="D9D9D9"/>
            <w:vAlign w:val="center"/>
            <w:hideMark/>
          </w:tcPr>
          <w:p w14:paraId="60215FFE" w14:textId="77777777" w:rsidR="009D1CDF" w:rsidRPr="00C73F29" w:rsidRDefault="009D1CDF" w:rsidP="007579D6">
            <w:pPr>
              <w:spacing w:after="0"/>
              <w:jc w:val="center"/>
              <w:rPr>
                <w:rFonts w:ascii="Verdana" w:hAnsi="Verdana"/>
                <w:b/>
                <w:bCs/>
                <w:sz w:val="16"/>
                <w:szCs w:val="16"/>
              </w:rPr>
            </w:pPr>
            <w:r w:rsidRPr="00C73F29">
              <w:rPr>
                <w:rFonts w:ascii="Verdana" w:hAnsi="Verdana"/>
                <w:b/>
                <w:bCs/>
                <w:sz w:val="16"/>
                <w:szCs w:val="16"/>
              </w:rPr>
              <w:t>Calificación crediticia soberana de largo plazo</w:t>
            </w:r>
          </w:p>
        </w:tc>
      </w:tr>
      <w:tr w:rsidR="009D1CDF" w:rsidRPr="00507671" w14:paraId="0B55E0C1" w14:textId="77777777" w:rsidTr="007579D6">
        <w:trPr>
          <w:trHeight w:val="65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04904" w14:textId="77777777" w:rsidR="009D1CDF" w:rsidRPr="00C73F29" w:rsidRDefault="009D1CDF" w:rsidP="007579D6">
            <w:pPr>
              <w:spacing w:after="0"/>
              <w:jc w:val="center"/>
              <w:rPr>
                <w:rFonts w:ascii="Verdana" w:hAnsi="Verdana"/>
                <w:b/>
                <w:bCs/>
                <w:sz w:val="16"/>
                <w:szCs w:val="16"/>
              </w:rPr>
            </w:pPr>
          </w:p>
        </w:tc>
        <w:tc>
          <w:tcPr>
            <w:tcW w:w="1168" w:type="dxa"/>
            <w:tcBorders>
              <w:top w:val="single" w:sz="4" w:space="0" w:color="auto"/>
              <w:left w:val="nil"/>
              <w:bottom w:val="single" w:sz="4" w:space="0" w:color="auto"/>
              <w:right w:val="single" w:sz="4" w:space="0" w:color="auto"/>
            </w:tcBorders>
            <w:shd w:val="clear" w:color="auto" w:fill="D9D9D9"/>
            <w:vAlign w:val="center"/>
            <w:hideMark/>
          </w:tcPr>
          <w:p w14:paraId="1BEDC472" w14:textId="77777777" w:rsidR="009D1CDF" w:rsidRPr="00C73F29" w:rsidRDefault="009D1CDF" w:rsidP="007579D6">
            <w:pPr>
              <w:spacing w:after="0"/>
              <w:jc w:val="center"/>
              <w:rPr>
                <w:rFonts w:ascii="Verdana" w:hAnsi="Verdana"/>
                <w:b/>
                <w:bCs/>
                <w:sz w:val="16"/>
                <w:szCs w:val="16"/>
              </w:rPr>
            </w:pPr>
            <w:r w:rsidRPr="00C73F29">
              <w:rPr>
                <w:rFonts w:ascii="Verdana" w:hAnsi="Verdana"/>
                <w:b/>
                <w:bCs/>
                <w:sz w:val="16"/>
                <w:szCs w:val="16"/>
              </w:rPr>
              <w:t>AAA hasta BBB-</w:t>
            </w:r>
          </w:p>
        </w:tc>
        <w:tc>
          <w:tcPr>
            <w:tcW w:w="921" w:type="dxa"/>
            <w:gridSpan w:val="2"/>
            <w:tcBorders>
              <w:top w:val="single" w:sz="4" w:space="0" w:color="auto"/>
              <w:left w:val="nil"/>
              <w:bottom w:val="single" w:sz="4" w:space="0" w:color="auto"/>
              <w:right w:val="single" w:sz="4" w:space="0" w:color="auto"/>
            </w:tcBorders>
            <w:shd w:val="clear" w:color="auto" w:fill="D9D9D9"/>
            <w:vAlign w:val="center"/>
            <w:hideMark/>
          </w:tcPr>
          <w:p w14:paraId="0B96006A" w14:textId="77777777" w:rsidR="009D1CDF" w:rsidRPr="00C73F29" w:rsidRDefault="009D1CDF" w:rsidP="007579D6">
            <w:pPr>
              <w:spacing w:after="0"/>
              <w:jc w:val="center"/>
              <w:rPr>
                <w:rFonts w:ascii="Verdana" w:hAnsi="Verdana"/>
                <w:b/>
                <w:bCs/>
                <w:sz w:val="16"/>
                <w:szCs w:val="16"/>
              </w:rPr>
            </w:pPr>
            <w:r w:rsidRPr="00C73F29">
              <w:rPr>
                <w:rFonts w:ascii="Verdana" w:hAnsi="Verdana"/>
                <w:b/>
                <w:bCs/>
                <w:sz w:val="16"/>
                <w:szCs w:val="16"/>
              </w:rPr>
              <w:t xml:space="preserve">BB+ </w:t>
            </w:r>
            <w:r w:rsidRPr="00C73F29">
              <w:rPr>
                <w:rFonts w:ascii="Verdana" w:hAnsi="Verdana"/>
                <w:b/>
                <w:bCs/>
                <w:sz w:val="16"/>
                <w:szCs w:val="16"/>
              </w:rPr>
              <w:br/>
              <w:t>hasta B-</w:t>
            </w:r>
          </w:p>
        </w:tc>
        <w:tc>
          <w:tcPr>
            <w:tcW w:w="1033" w:type="dxa"/>
            <w:gridSpan w:val="2"/>
            <w:tcBorders>
              <w:top w:val="single" w:sz="4" w:space="0" w:color="auto"/>
              <w:left w:val="nil"/>
              <w:bottom w:val="single" w:sz="4" w:space="0" w:color="auto"/>
              <w:right w:val="single" w:sz="4" w:space="0" w:color="auto"/>
            </w:tcBorders>
            <w:shd w:val="clear" w:color="auto" w:fill="D9D9D9"/>
            <w:vAlign w:val="center"/>
            <w:hideMark/>
          </w:tcPr>
          <w:p w14:paraId="149AA26D" w14:textId="77777777" w:rsidR="009D1CDF" w:rsidRPr="00C73F29" w:rsidRDefault="009D1CDF" w:rsidP="007579D6">
            <w:pPr>
              <w:spacing w:after="0"/>
              <w:jc w:val="center"/>
              <w:rPr>
                <w:rFonts w:ascii="Verdana" w:hAnsi="Verdana"/>
                <w:b/>
                <w:bCs/>
                <w:sz w:val="16"/>
                <w:szCs w:val="16"/>
              </w:rPr>
            </w:pPr>
            <w:r w:rsidRPr="00C73F29">
              <w:rPr>
                <w:rFonts w:ascii="Verdana" w:hAnsi="Verdana"/>
                <w:b/>
                <w:bCs/>
                <w:sz w:val="16"/>
                <w:szCs w:val="16"/>
              </w:rPr>
              <w:t>Inferior a B-</w:t>
            </w:r>
          </w:p>
        </w:tc>
      </w:tr>
      <w:tr w:rsidR="009D1CDF" w:rsidRPr="00507671" w14:paraId="30B5DB47" w14:textId="77777777" w:rsidTr="007579D6">
        <w:trPr>
          <w:trHeight w:val="414"/>
          <w:tblHeader/>
        </w:trPr>
        <w:tc>
          <w:tcPr>
            <w:tcW w:w="5648" w:type="dxa"/>
            <w:tcBorders>
              <w:top w:val="nil"/>
              <w:left w:val="single" w:sz="4" w:space="0" w:color="auto"/>
              <w:bottom w:val="single" w:sz="4" w:space="0" w:color="auto"/>
              <w:right w:val="single" w:sz="4" w:space="0" w:color="auto"/>
            </w:tcBorders>
            <w:shd w:val="clear" w:color="auto" w:fill="FFFFFF"/>
            <w:vAlign w:val="center"/>
            <w:hideMark/>
          </w:tcPr>
          <w:p w14:paraId="789C0595"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Títulos de deuda y derivados de procesos de titularización con riesgo crediticio de largo plazo AAA hasta AA-</w:t>
            </w:r>
          </w:p>
        </w:tc>
        <w:tc>
          <w:tcPr>
            <w:tcW w:w="1168" w:type="dxa"/>
            <w:tcBorders>
              <w:top w:val="nil"/>
              <w:left w:val="nil"/>
              <w:bottom w:val="single" w:sz="4" w:space="0" w:color="auto"/>
              <w:right w:val="single" w:sz="4" w:space="0" w:color="auto"/>
            </w:tcBorders>
            <w:vAlign w:val="center"/>
            <w:hideMark/>
          </w:tcPr>
          <w:p w14:paraId="148F0B2F"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1,5%</w:t>
            </w:r>
          </w:p>
        </w:tc>
        <w:tc>
          <w:tcPr>
            <w:tcW w:w="921" w:type="dxa"/>
            <w:gridSpan w:val="2"/>
            <w:tcBorders>
              <w:top w:val="nil"/>
              <w:left w:val="nil"/>
              <w:bottom w:val="single" w:sz="4" w:space="0" w:color="auto"/>
              <w:right w:val="single" w:sz="4" w:space="0" w:color="auto"/>
            </w:tcBorders>
            <w:vAlign w:val="center"/>
            <w:hideMark/>
          </w:tcPr>
          <w:p w14:paraId="4EACCCD6"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4,5%</w:t>
            </w:r>
          </w:p>
        </w:tc>
        <w:tc>
          <w:tcPr>
            <w:tcW w:w="1033" w:type="dxa"/>
            <w:gridSpan w:val="2"/>
            <w:vMerge w:val="restart"/>
            <w:tcBorders>
              <w:top w:val="nil"/>
              <w:left w:val="single" w:sz="4" w:space="0" w:color="auto"/>
              <w:bottom w:val="single" w:sz="4" w:space="0" w:color="000000"/>
              <w:right w:val="single" w:sz="4" w:space="0" w:color="auto"/>
            </w:tcBorders>
            <w:vAlign w:val="center"/>
            <w:hideMark/>
          </w:tcPr>
          <w:p w14:paraId="563B0183"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8,5%</w:t>
            </w:r>
          </w:p>
        </w:tc>
      </w:tr>
      <w:tr w:rsidR="009D1CDF" w:rsidRPr="00507671" w14:paraId="48980949" w14:textId="77777777" w:rsidTr="007579D6">
        <w:trPr>
          <w:trHeight w:val="414"/>
          <w:tblHeader/>
        </w:trPr>
        <w:tc>
          <w:tcPr>
            <w:tcW w:w="5648" w:type="dxa"/>
            <w:tcBorders>
              <w:top w:val="nil"/>
              <w:left w:val="single" w:sz="4" w:space="0" w:color="auto"/>
              <w:bottom w:val="single" w:sz="4" w:space="0" w:color="auto"/>
              <w:right w:val="single" w:sz="4" w:space="0" w:color="auto"/>
            </w:tcBorders>
            <w:shd w:val="clear" w:color="auto" w:fill="FFFFFF"/>
            <w:vAlign w:val="center"/>
            <w:hideMark/>
          </w:tcPr>
          <w:p w14:paraId="4BAA00B8"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Títulos de deuda y derivados de procesos de titularización con riesgo crediticio de largo plazo A+ hasta A-</w:t>
            </w:r>
          </w:p>
        </w:tc>
        <w:tc>
          <w:tcPr>
            <w:tcW w:w="1168" w:type="dxa"/>
            <w:tcBorders>
              <w:top w:val="nil"/>
              <w:left w:val="nil"/>
              <w:bottom w:val="single" w:sz="4" w:space="0" w:color="auto"/>
              <w:right w:val="single" w:sz="4" w:space="0" w:color="auto"/>
            </w:tcBorders>
            <w:vAlign w:val="center"/>
            <w:hideMark/>
          </w:tcPr>
          <w:p w14:paraId="53EA6916"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4,5%</w:t>
            </w:r>
          </w:p>
        </w:tc>
        <w:tc>
          <w:tcPr>
            <w:tcW w:w="921" w:type="dxa"/>
            <w:gridSpan w:val="2"/>
            <w:vMerge w:val="restart"/>
            <w:tcBorders>
              <w:top w:val="nil"/>
              <w:left w:val="single" w:sz="4" w:space="0" w:color="auto"/>
              <w:bottom w:val="single" w:sz="4" w:space="0" w:color="000000"/>
              <w:right w:val="single" w:sz="4" w:space="0" w:color="auto"/>
            </w:tcBorders>
            <w:vAlign w:val="center"/>
            <w:hideMark/>
          </w:tcPr>
          <w:p w14:paraId="62CE4D74"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8,5%</w:t>
            </w:r>
          </w:p>
        </w:tc>
        <w:tc>
          <w:tcPr>
            <w:tcW w:w="0" w:type="auto"/>
            <w:gridSpan w:val="2"/>
            <w:vMerge/>
            <w:tcBorders>
              <w:top w:val="nil"/>
              <w:left w:val="single" w:sz="4" w:space="0" w:color="auto"/>
              <w:bottom w:val="single" w:sz="4" w:space="0" w:color="000000"/>
              <w:right w:val="single" w:sz="4" w:space="0" w:color="auto"/>
            </w:tcBorders>
            <w:vAlign w:val="center"/>
            <w:hideMark/>
          </w:tcPr>
          <w:p w14:paraId="1F7E3A87" w14:textId="77777777" w:rsidR="009D1CDF" w:rsidRPr="00C73F29" w:rsidRDefault="009D1CDF" w:rsidP="007579D6">
            <w:pPr>
              <w:spacing w:after="0"/>
              <w:jc w:val="both"/>
              <w:rPr>
                <w:rFonts w:ascii="Verdana" w:hAnsi="Verdana"/>
                <w:sz w:val="16"/>
                <w:szCs w:val="16"/>
              </w:rPr>
            </w:pPr>
          </w:p>
        </w:tc>
      </w:tr>
      <w:tr w:rsidR="009D1CDF" w:rsidRPr="00507671" w14:paraId="689B900E" w14:textId="77777777" w:rsidTr="007579D6">
        <w:trPr>
          <w:trHeight w:val="414"/>
          <w:tblHeader/>
        </w:trPr>
        <w:tc>
          <w:tcPr>
            <w:tcW w:w="5648" w:type="dxa"/>
            <w:tcBorders>
              <w:top w:val="nil"/>
              <w:left w:val="single" w:sz="4" w:space="0" w:color="auto"/>
              <w:bottom w:val="single" w:sz="4" w:space="0" w:color="auto"/>
              <w:right w:val="single" w:sz="4" w:space="0" w:color="auto"/>
            </w:tcBorders>
            <w:shd w:val="clear" w:color="auto" w:fill="FFFFFF"/>
            <w:vAlign w:val="center"/>
            <w:hideMark/>
          </w:tcPr>
          <w:p w14:paraId="0BA910DC"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Títulos de deuda y derivados de procesos de titularización con riesgo crediticio de largo plazo BBB+ o inferior o sin calificación</w:t>
            </w:r>
          </w:p>
        </w:tc>
        <w:tc>
          <w:tcPr>
            <w:tcW w:w="1168" w:type="dxa"/>
            <w:tcBorders>
              <w:top w:val="nil"/>
              <w:left w:val="nil"/>
              <w:bottom w:val="single" w:sz="4" w:space="0" w:color="auto"/>
              <w:right w:val="single" w:sz="4" w:space="0" w:color="auto"/>
            </w:tcBorders>
            <w:vAlign w:val="center"/>
            <w:hideMark/>
          </w:tcPr>
          <w:p w14:paraId="6FF88B81"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8,5%</w:t>
            </w:r>
          </w:p>
        </w:tc>
        <w:tc>
          <w:tcPr>
            <w:tcW w:w="0" w:type="auto"/>
            <w:gridSpan w:val="2"/>
            <w:vMerge/>
            <w:tcBorders>
              <w:top w:val="nil"/>
              <w:left w:val="nil"/>
              <w:bottom w:val="single" w:sz="4" w:space="0" w:color="auto"/>
              <w:right w:val="single" w:sz="4" w:space="0" w:color="auto"/>
            </w:tcBorders>
            <w:vAlign w:val="center"/>
            <w:hideMark/>
          </w:tcPr>
          <w:p w14:paraId="2D0CCDEC" w14:textId="77777777" w:rsidR="009D1CDF" w:rsidRPr="00C73F29" w:rsidRDefault="009D1CDF" w:rsidP="007579D6">
            <w:pPr>
              <w:spacing w:after="0"/>
              <w:jc w:val="both"/>
              <w:rPr>
                <w:rFonts w:ascii="Verdana" w:hAnsi="Verdana"/>
                <w:sz w:val="16"/>
                <w:szCs w:val="16"/>
              </w:rPr>
            </w:pPr>
          </w:p>
        </w:tc>
        <w:tc>
          <w:tcPr>
            <w:tcW w:w="0" w:type="auto"/>
            <w:gridSpan w:val="2"/>
            <w:vMerge/>
            <w:tcBorders>
              <w:top w:val="nil"/>
              <w:left w:val="nil"/>
              <w:bottom w:val="single" w:sz="4" w:space="0" w:color="auto"/>
              <w:right w:val="single" w:sz="4" w:space="0" w:color="auto"/>
            </w:tcBorders>
            <w:vAlign w:val="center"/>
            <w:hideMark/>
          </w:tcPr>
          <w:p w14:paraId="5F44AC87" w14:textId="77777777" w:rsidR="009D1CDF" w:rsidRPr="00C73F29" w:rsidRDefault="009D1CDF" w:rsidP="007579D6">
            <w:pPr>
              <w:spacing w:after="0"/>
              <w:jc w:val="both"/>
              <w:rPr>
                <w:rFonts w:ascii="Verdana" w:hAnsi="Verdana"/>
                <w:sz w:val="16"/>
                <w:szCs w:val="16"/>
              </w:rPr>
            </w:pPr>
          </w:p>
        </w:tc>
      </w:tr>
      <w:tr w:rsidR="009D1CDF" w:rsidRPr="00507671" w14:paraId="32FE2E43" w14:textId="77777777" w:rsidTr="007579D6">
        <w:trPr>
          <w:trHeight w:val="414"/>
          <w:tblHeader/>
        </w:trPr>
        <w:tc>
          <w:tcPr>
            <w:tcW w:w="5648" w:type="dxa"/>
            <w:tcBorders>
              <w:top w:val="nil"/>
              <w:left w:val="single" w:sz="4" w:space="0" w:color="auto"/>
              <w:bottom w:val="single" w:sz="4" w:space="0" w:color="auto"/>
              <w:right w:val="single" w:sz="4" w:space="0" w:color="auto"/>
            </w:tcBorders>
            <w:shd w:val="clear" w:color="auto" w:fill="FFFFFF"/>
            <w:vAlign w:val="center"/>
            <w:hideMark/>
          </w:tcPr>
          <w:p w14:paraId="32F26132"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Títulos de deuda y derivados de procesos de titularización con riesgo crediticio de corto plazo 1+ hasta 1-</w:t>
            </w:r>
          </w:p>
        </w:tc>
        <w:tc>
          <w:tcPr>
            <w:tcW w:w="1168" w:type="dxa"/>
            <w:tcBorders>
              <w:top w:val="nil"/>
              <w:left w:val="nil"/>
              <w:bottom w:val="single" w:sz="4" w:space="0" w:color="auto"/>
              <w:right w:val="single" w:sz="4" w:space="0" w:color="auto"/>
            </w:tcBorders>
            <w:vAlign w:val="center"/>
            <w:hideMark/>
          </w:tcPr>
          <w:p w14:paraId="17879B86"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1,5%</w:t>
            </w:r>
          </w:p>
        </w:tc>
        <w:tc>
          <w:tcPr>
            <w:tcW w:w="921" w:type="dxa"/>
            <w:gridSpan w:val="2"/>
            <w:tcBorders>
              <w:top w:val="nil"/>
              <w:left w:val="nil"/>
              <w:bottom w:val="single" w:sz="4" w:space="0" w:color="auto"/>
              <w:right w:val="single" w:sz="4" w:space="0" w:color="auto"/>
            </w:tcBorders>
            <w:vAlign w:val="center"/>
            <w:hideMark/>
          </w:tcPr>
          <w:p w14:paraId="48662DC9"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4,5%</w:t>
            </w:r>
          </w:p>
        </w:tc>
        <w:tc>
          <w:tcPr>
            <w:tcW w:w="0" w:type="auto"/>
            <w:gridSpan w:val="2"/>
            <w:vMerge/>
            <w:tcBorders>
              <w:top w:val="nil"/>
              <w:left w:val="nil"/>
              <w:bottom w:val="single" w:sz="4" w:space="0" w:color="auto"/>
              <w:right w:val="single" w:sz="4" w:space="0" w:color="auto"/>
            </w:tcBorders>
            <w:vAlign w:val="center"/>
            <w:hideMark/>
          </w:tcPr>
          <w:p w14:paraId="12F74426" w14:textId="77777777" w:rsidR="009D1CDF" w:rsidRPr="00C73F29" w:rsidRDefault="009D1CDF" w:rsidP="007579D6">
            <w:pPr>
              <w:spacing w:after="0"/>
              <w:jc w:val="both"/>
              <w:rPr>
                <w:rFonts w:ascii="Verdana" w:hAnsi="Verdana"/>
                <w:sz w:val="16"/>
                <w:szCs w:val="16"/>
              </w:rPr>
            </w:pPr>
          </w:p>
        </w:tc>
      </w:tr>
      <w:tr w:rsidR="009D1CDF" w:rsidRPr="00507671" w14:paraId="53F36A77" w14:textId="77777777" w:rsidTr="007579D6">
        <w:trPr>
          <w:trHeight w:val="414"/>
          <w:tblHeader/>
        </w:trPr>
        <w:tc>
          <w:tcPr>
            <w:tcW w:w="5648" w:type="dxa"/>
            <w:tcBorders>
              <w:top w:val="nil"/>
              <w:left w:val="single" w:sz="4" w:space="0" w:color="auto"/>
              <w:bottom w:val="single" w:sz="4" w:space="0" w:color="auto"/>
              <w:right w:val="single" w:sz="4" w:space="0" w:color="auto"/>
            </w:tcBorders>
            <w:shd w:val="clear" w:color="auto" w:fill="FFFFFF"/>
            <w:vAlign w:val="center"/>
            <w:hideMark/>
          </w:tcPr>
          <w:p w14:paraId="5C418C9E"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Títulos de deuda y derivados de procesos de titularización con riesgo crediticio de corto plazo 2+ hasta 2-</w:t>
            </w:r>
          </w:p>
        </w:tc>
        <w:tc>
          <w:tcPr>
            <w:tcW w:w="1168" w:type="dxa"/>
            <w:tcBorders>
              <w:top w:val="nil"/>
              <w:left w:val="nil"/>
              <w:bottom w:val="single" w:sz="4" w:space="0" w:color="auto"/>
              <w:right w:val="single" w:sz="4" w:space="0" w:color="auto"/>
            </w:tcBorders>
            <w:vAlign w:val="center"/>
            <w:hideMark/>
          </w:tcPr>
          <w:p w14:paraId="59BC5FCA"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4,5%</w:t>
            </w:r>
          </w:p>
        </w:tc>
        <w:tc>
          <w:tcPr>
            <w:tcW w:w="921" w:type="dxa"/>
            <w:gridSpan w:val="2"/>
            <w:vMerge w:val="restart"/>
            <w:tcBorders>
              <w:top w:val="nil"/>
              <w:left w:val="single" w:sz="4" w:space="0" w:color="auto"/>
              <w:bottom w:val="single" w:sz="4" w:space="0" w:color="000000"/>
              <w:right w:val="single" w:sz="4" w:space="0" w:color="auto"/>
            </w:tcBorders>
            <w:vAlign w:val="center"/>
            <w:hideMark/>
          </w:tcPr>
          <w:p w14:paraId="2AB3B2C8"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8,5%</w:t>
            </w:r>
          </w:p>
        </w:tc>
        <w:tc>
          <w:tcPr>
            <w:tcW w:w="0" w:type="auto"/>
            <w:gridSpan w:val="2"/>
            <w:vMerge/>
            <w:tcBorders>
              <w:top w:val="nil"/>
              <w:left w:val="nil"/>
              <w:bottom w:val="single" w:sz="4" w:space="0" w:color="auto"/>
              <w:right w:val="single" w:sz="4" w:space="0" w:color="auto"/>
            </w:tcBorders>
            <w:vAlign w:val="center"/>
            <w:hideMark/>
          </w:tcPr>
          <w:p w14:paraId="4ADE79CC" w14:textId="77777777" w:rsidR="009D1CDF" w:rsidRPr="00C73F29" w:rsidRDefault="009D1CDF" w:rsidP="007579D6">
            <w:pPr>
              <w:spacing w:after="0"/>
              <w:jc w:val="both"/>
              <w:rPr>
                <w:rFonts w:ascii="Verdana" w:hAnsi="Verdana"/>
                <w:sz w:val="16"/>
                <w:szCs w:val="16"/>
              </w:rPr>
            </w:pPr>
          </w:p>
        </w:tc>
      </w:tr>
      <w:tr w:rsidR="009D1CDF" w:rsidRPr="00507671" w14:paraId="53C45B16" w14:textId="77777777" w:rsidTr="007579D6">
        <w:trPr>
          <w:trHeight w:val="414"/>
          <w:tblHeader/>
        </w:trPr>
        <w:tc>
          <w:tcPr>
            <w:tcW w:w="5648" w:type="dxa"/>
            <w:tcBorders>
              <w:top w:val="nil"/>
              <w:left w:val="single" w:sz="4" w:space="0" w:color="auto"/>
              <w:bottom w:val="single" w:sz="4" w:space="0" w:color="auto"/>
              <w:right w:val="single" w:sz="4" w:space="0" w:color="auto"/>
            </w:tcBorders>
            <w:shd w:val="clear" w:color="auto" w:fill="FFFFFF"/>
            <w:vAlign w:val="center"/>
            <w:hideMark/>
          </w:tcPr>
          <w:p w14:paraId="3C482B86"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Títulos de deuda y derivados de procesos de titularización con riesgo crediticio de corto plazo 3 o inferior o sin calificación</w:t>
            </w:r>
          </w:p>
        </w:tc>
        <w:tc>
          <w:tcPr>
            <w:tcW w:w="1168" w:type="dxa"/>
            <w:tcBorders>
              <w:top w:val="nil"/>
              <w:left w:val="nil"/>
              <w:bottom w:val="single" w:sz="4" w:space="0" w:color="auto"/>
              <w:right w:val="single" w:sz="4" w:space="0" w:color="auto"/>
            </w:tcBorders>
            <w:vAlign w:val="center"/>
            <w:hideMark/>
          </w:tcPr>
          <w:p w14:paraId="37BA9AC8"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8,5%</w:t>
            </w:r>
          </w:p>
        </w:tc>
        <w:tc>
          <w:tcPr>
            <w:tcW w:w="0" w:type="auto"/>
            <w:gridSpan w:val="2"/>
            <w:vMerge/>
            <w:tcBorders>
              <w:top w:val="nil"/>
              <w:left w:val="nil"/>
              <w:bottom w:val="single" w:sz="4" w:space="0" w:color="auto"/>
              <w:right w:val="single" w:sz="4" w:space="0" w:color="auto"/>
            </w:tcBorders>
            <w:vAlign w:val="center"/>
            <w:hideMark/>
          </w:tcPr>
          <w:p w14:paraId="0CD0C21A" w14:textId="77777777" w:rsidR="009D1CDF" w:rsidRPr="00C73F29" w:rsidRDefault="009D1CDF" w:rsidP="007579D6">
            <w:pPr>
              <w:spacing w:after="0"/>
              <w:jc w:val="both"/>
              <w:rPr>
                <w:rFonts w:ascii="Verdana" w:hAnsi="Verdana"/>
                <w:sz w:val="16"/>
                <w:szCs w:val="16"/>
              </w:rPr>
            </w:pPr>
          </w:p>
        </w:tc>
        <w:tc>
          <w:tcPr>
            <w:tcW w:w="0" w:type="auto"/>
            <w:gridSpan w:val="2"/>
            <w:vMerge/>
            <w:tcBorders>
              <w:top w:val="nil"/>
              <w:left w:val="nil"/>
              <w:bottom w:val="single" w:sz="4" w:space="0" w:color="auto"/>
              <w:right w:val="single" w:sz="4" w:space="0" w:color="auto"/>
            </w:tcBorders>
            <w:vAlign w:val="center"/>
            <w:hideMark/>
          </w:tcPr>
          <w:p w14:paraId="3FB311F3" w14:textId="77777777" w:rsidR="009D1CDF" w:rsidRPr="00C73F29" w:rsidRDefault="009D1CDF" w:rsidP="007579D6">
            <w:pPr>
              <w:spacing w:after="0"/>
              <w:jc w:val="both"/>
              <w:rPr>
                <w:rFonts w:ascii="Verdana" w:hAnsi="Verdana"/>
                <w:sz w:val="16"/>
                <w:szCs w:val="16"/>
              </w:rPr>
            </w:pPr>
          </w:p>
        </w:tc>
      </w:tr>
      <w:tr w:rsidR="009D1CDF" w:rsidRPr="00507671" w14:paraId="08439F08" w14:textId="77777777" w:rsidTr="007579D6">
        <w:trPr>
          <w:trHeight w:val="414"/>
          <w:tblHeader/>
        </w:trPr>
        <w:tc>
          <w:tcPr>
            <w:tcW w:w="5648" w:type="dxa"/>
            <w:tcBorders>
              <w:top w:val="nil"/>
              <w:left w:val="single" w:sz="4" w:space="0" w:color="auto"/>
              <w:bottom w:val="single" w:sz="4" w:space="0" w:color="auto"/>
              <w:right w:val="single" w:sz="4" w:space="0" w:color="auto"/>
            </w:tcBorders>
            <w:shd w:val="clear" w:color="auto" w:fill="FFFFFF"/>
            <w:vAlign w:val="center"/>
            <w:hideMark/>
          </w:tcPr>
          <w:p w14:paraId="2EE74398"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 xml:space="preserve">Exposición neta en las operaciones de reporto o repo, simultáneas, </w:t>
            </w:r>
            <w:proofErr w:type="spellStart"/>
            <w:r w:rsidRPr="00C73F29">
              <w:rPr>
                <w:rFonts w:ascii="Verdana" w:hAnsi="Verdana"/>
                <w:sz w:val="16"/>
                <w:szCs w:val="16"/>
              </w:rPr>
              <w:t>TTVs</w:t>
            </w:r>
            <w:proofErr w:type="spellEnd"/>
            <w:r w:rsidRPr="00C73F29">
              <w:rPr>
                <w:rFonts w:ascii="Verdana" w:hAnsi="Verdana"/>
                <w:sz w:val="16"/>
                <w:szCs w:val="16"/>
              </w:rPr>
              <w:t xml:space="preserve"> o garantizados con derivados siempre que la contraparte sea una entidad no contemplada en las categorías I y II con rango de calificación AAA hasta AA-</w:t>
            </w:r>
          </w:p>
        </w:tc>
        <w:tc>
          <w:tcPr>
            <w:tcW w:w="1168" w:type="dxa"/>
            <w:tcBorders>
              <w:top w:val="nil"/>
              <w:left w:val="nil"/>
              <w:bottom w:val="single" w:sz="4" w:space="0" w:color="auto"/>
              <w:right w:val="single" w:sz="4" w:space="0" w:color="auto"/>
            </w:tcBorders>
            <w:vAlign w:val="center"/>
            <w:hideMark/>
          </w:tcPr>
          <w:p w14:paraId="7918E792"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1,5%</w:t>
            </w:r>
          </w:p>
        </w:tc>
        <w:tc>
          <w:tcPr>
            <w:tcW w:w="921" w:type="dxa"/>
            <w:gridSpan w:val="2"/>
            <w:tcBorders>
              <w:top w:val="nil"/>
              <w:left w:val="nil"/>
              <w:bottom w:val="single" w:sz="4" w:space="0" w:color="auto"/>
              <w:right w:val="single" w:sz="4" w:space="0" w:color="auto"/>
            </w:tcBorders>
            <w:vAlign w:val="center"/>
            <w:hideMark/>
          </w:tcPr>
          <w:p w14:paraId="4B78C593"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4,5%</w:t>
            </w:r>
          </w:p>
        </w:tc>
        <w:tc>
          <w:tcPr>
            <w:tcW w:w="0" w:type="auto"/>
            <w:gridSpan w:val="2"/>
            <w:vMerge/>
            <w:tcBorders>
              <w:top w:val="nil"/>
              <w:left w:val="nil"/>
              <w:bottom w:val="single" w:sz="4" w:space="0" w:color="auto"/>
              <w:right w:val="single" w:sz="4" w:space="0" w:color="auto"/>
            </w:tcBorders>
            <w:vAlign w:val="center"/>
            <w:hideMark/>
          </w:tcPr>
          <w:p w14:paraId="734063DA" w14:textId="77777777" w:rsidR="009D1CDF" w:rsidRPr="00C73F29" w:rsidRDefault="009D1CDF" w:rsidP="007579D6">
            <w:pPr>
              <w:spacing w:after="0"/>
              <w:jc w:val="both"/>
              <w:rPr>
                <w:rFonts w:ascii="Verdana" w:hAnsi="Verdana"/>
                <w:sz w:val="16"/>
                <w:szCs w:val="16"/>
              </w:rPr>
            </w:pPr>
          </w:p>
        </w:tc>
      </w:tr>
      <w:tr w:rsidR="009D1CDF" w:rsidRPr="00507671" w14:paraId="49D82162" w14:textId="77777777" w:rsidTr="007579D6">
        <w:trPr>
          <w:trHeight w:val="414"/>
          <w:tblHeader/>
        </w:trPr>
        <w:tc>
          <w:tcPr>
            <w:tcW w:w="5648" w:type="dxa"/>
            <w:tcBorders>
              <w:top w:val="nil"/>
              <w:left w:val="single" w:sz="4" w:space="0" w:color="auto"/>
              <w:bottom w:val="single" w:sz="4" w:space="0" w:color="auto"/>
              <w:right w:val="single" w:sz="4" w:space="0" w:color="auto"/>
            </w:tcBorders>
            <w:shd w:val="clear" w:color="auto" w:fill="FFFFFF"/>
            <w:vAlign w:val="center"/>
            <w:hideMark/>
          </w:tcPr>
          <w:p w14:paraId="25389AB3"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 xml:space="preserve">Exposición neta en las operaciones de reporto o repo, simultáneas, </w:t>
            </w:r>
            <w:proofErr w:type="spellStart"/>
            <w:r w:rsidRPr="00C73F29">
              <w:rPr>
                <w:rFonts w:ascii="Verdana" w:hAnsi="Verdana"/>
                <w:sz w:val="16"/>
                <w:szCs w:val="16"/>
              </w:rPr>
              <w:t>TTVs</w:t>
            </w:r>
            <w:proofErr w:type="spellEnd"/>
            <w:r w:rsidRPr="00C73F29">
              <w:rPr>
                <w:rFonts w:ascii="Verdana" w:hAnsi="Verdana"/>
                <w:sz w:val="16"/>
                <w:szCs w:val="16"/>
              </w:rPr>
              <w:t xml:space="preserve"> o garantizados con derivados siempre que la contraparte sea una entidad no contemplada en las categorías I y II con rango de calificación A+ hasta A-</w:t>
            </w:r>
          </w:p>
        </w:tc>
        <w:tc>
          <w:tcPr>
            <w:tcW w:w="1168" w:type="dxa"/>
            <w:tcBorders>
              <w:top w:val="nil"/>
              <w:left w:val="nil"/>
              <w:bottom w:val="single" w:sz="4" w:space="0" w:color="auto"/>
              <w:right w:val="single" w:sz="4" w:space="0" w:color="auto"/>
            </w:tcBorders>
            <w:vAlign w:val="center"/>
            <w:hideMark/>
          </w:tcPr>
          <w:p w14:paraId="07937FA0"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4,5%</w:t>
            </w:r>
          </w:p>
        </w:tc>
        <w:tc>
          <w:tcPr>
            <w:tcW w:w="921" w:type="dxa"/>
            <w:gridSpan w:val="2"/>
            <w:vMerge w:val="restart"/>
            <w:tcBorders>
              <w:top w:val="nil"/>
              <w:left w:val="single" w:sz="4" w:space="0" w:color="auto"/>
              <w:bottom w:val="single" w:sz="4" w:space="0" w:color="000000"/>
              <w:right w:val="single" w:sz="4" w:space="0" w:color="auto"/>
            </w:tcBorders>
            <w:vAlign w:val="center"/>
            <w:hideMark/>
          </w:tcPr>
          <w:p w14:paraId="4093D240"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8,5%</w:t>
            </w:r>
          </w:p>
        </w:tc>
        <w:tc>
          <w:tcPr>
            <w:tcW w:w="0" w:type="auto"/>
            <w:gridSpan w:val="2"/>
            <w:vMerge/>
            <w:tcBorders>
              <w:top w:val="nil"/>
              <w:left w:val="nil"/>
              <w:bottom w:val="single" w:sz="4" w:space="0" w:color="auto"/>
              <w:right w:val="single" w:sz="4" w:space="0" w:color="auto"/>
            </w:tcBorders>
            <w:vAlign w:val="center"/>
            <w:hideMark/>
          </w:tcPr>
          <w:p w14:paraId="01F5B2C7" w14:textId="77777777" w:rsidR="009D1CDF" w:rsidRPr="00C73F29" w:rsidRDefault="009D1CDF" w:rsidP="007579D6">
            <w:pPr>
              <w:spacing w:after="0"/>
              <w:jc w:val="both"/>
              <w:rPr>
                <w:rFonts w:ascii="Verdana" w:hAnsi="Verdana"/>
                <w:sz w:val="16"/>
                <w:szCs w:val="16"/>
              </w:rPr>
            </w:pPr>
          </w:p>
        </w:tc>
      </w:tr>
      <w:tr w:rsidR="009D1CDF" w:rsidRPr="00507671" w14:paraId="224CDA99" w14:textId="77777777" w:rsidTr="007579D6">
        <w:trPr>
          <w:trHeight w:val="414"/>
          <w:tblHeader/>
        </w:trPr>
        <w:tc>
          <w:tcPr>
            <w:tcW w:w="5648" w:type="dxa"/>
            <w:tcBorders>
              <w:top w:val="nil"/>
              <w:left w:val="single" w:sz="4" w:space="0" w:color="auto"/>
              <w:bottom w:val="single" w:sz="4" w:space="0" w:color="auto"/>
              <w:right w:val="single" w:sz="4" w:space="0" w:color="auto"/>
            </w:tcBorders>
            <w:shd w:val="clear" w:color="auto" w:fill="FFFFFF"/>
            <w:vAlign w:val="center"/>
            <w:hideMark/>
          </w:tcPr>
          <w:p w14:paraId="03858313"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 xml:space="preserve">Exposición neta en las operaciones de reporto o repo, simultáneas, </w:t>
            </w:r>
            <w:proofErr w:type="spellStart"/>
            <w:r w:rsidRPr="00C73F29">
              <w:rPr>
                <w:rFonts w:ascii="Verdana" w:hAnsi="Verdana"/>
                <w:sz w:val="16"/>
                <w:szCs w:val="16"/>
              </w:rPr>
              <w:t>TTVs</w:t>
            </w:r>
            <w:proofErr w:type="spellEnd"/>
            <w:r w:rsidRPr="00C73F29">
              <w:rPr>
                <w:rFonts w:ascii="Verdana" w:hAnsi="Verdana"/>
                <w:sz w:val="16"/>
                <w:szCs w:val="16"/>
              </w:rPr>
              <w:t xml:space="preserve"> o garantizados con derivados siempre que la contraparte sea una entidad no contemplada en las categorías I y II con rango de calificación BBB+ o inferior o sin calificación</w:t>
            </w:r>
          </w:p>
        </w:tc>
        <w:tc>
          <w:tcPr>
            <w:tcW w:w="1168" w:type="dxa"/>
            <w:tcBorders>
              <w:top w:val="nil"/>
              <w:left w:val="nil"/>
              <w:bottom w:val="single" w:sz="4" w:space="0" w:color="auto"/>
              <w:right w:val="single" w:sz="4" w:space="0" w:color="auto"/>
            </w:tcBorders>
            <w:vAlign w:val="center"/>
            <w:hideMark/>
          </w:tcPr>
          <w:p w14:paraId="34022B8C"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8,5%</w:t>
            </w:r>
          </w:p>
        </w:tc>
        <w:tc>
          <w:tcPr>
            <w:tcW w:w="0" w:type="auto"/>
            <w:gridSpan w:val="2"/>
            <w:vMerge/>
            <w:tcBorders>
              <w:top w:val="nil"/>
              <w:left w:val="nil"/>
              <w:bottom w:val="single" w:sz="4" w:space="0" w:color="auto"/>
              <w:right w:val="single" w:sz="4" w:space="0" w:color="auto"/>
            </w:tcBorders>
            <w:vAlign w:val="center"/>
            <w:hideMark/>
          </w:tcPr>
          <w:p w14:paraId="524D63D0" w14:textId="77777777" w:rsidR="009D1CDF" w:rsidRPr="00C73F29" w:rsidRDefault="009D1CDF" w:rsidP="007579D6">
            <w:pPr>
              <w:spacing w:after="0"/>
              <w:jc w:val="both"/>
              <w:rPr>
                <w:rFonts w:ascii="Verdana" w:hAnsi="Verdana"/>
                <w:sz w:val="16"/>
                <w:szCs w:val="16"/>
              </w:rPr>
            </w:pPr>
          </w:p>
        </w:tc>
        <w:tc>
          <w:tcPr>
            <w:tcW w:w="0" w:type="auto"/>
            <w:gridSpan w:val="2"/>
            <w:vMerge/>
            <w:tcBorders>
              <w:top w:val="nil"/>
              <w:left w:val="nil"/>
              <w:bottom w:val="single" w:sz="4" w:space="0" w:color="auto"/>
              <w:right w:val="single" w:sz="4" w:space="0" w:color="auto"/>
            </w:tcBorders>
            <w:vAlign w:val="center"/>
            <w:hideMark/>
          </w:tcPr>
          <w:p w14:paraId="7DFB071D" w14:textId="77777777" w:rsidR="009D1CDF" w:rsidRPr="00C73F29" w:rsidRDefault="009D1CDF" w:rsidP="007579D6">
            <w:pPr>
              <w:spacing w:after="0"/>
              <w:jc w:val="both"/>
              <w:rPr>
                <w:rFonts w:ascii="Verdana" w:hAnsi="Verdana"/>
                <w:sz w:val="16"/>
                <w:szCs w:val="16"/>
              </w:rPr>
            </w:pPr>
          </w:p>
        </w:tc>
      </w:tr>
      <w:tr w:rsidR="009D1CDF" w:rsidRPr="00507671" w14:paraId="00488773" w14:textId="77777777" w:rsidTr="007579D6">
        <w:trPr>
          <w:trHeight w:val="320"/>
          <w:tblHeader/>
        </w:trPr>
        <w:tc>
          <w:tcPr>
            <w:tcW w:w="5648" w:type="dxa"/>
            <w:tcBorders>
              <w:top w:val="nil"/>
              <w:left w:val="single" w:sz="4" w:space="0" w:color="auto"/>
              <w:bottom w:val="single" w:sz="4" w:space="0" w:color="auto"/>
              <w:right w:val="single" w:sz="4" w:space="0" w:color="auto"/>
            </w:tcBorders>
            <w:shd w:val="clear" w:color="auto" w:fill="FFFFFF"/>
            <w:vAlign w:val="bottom"/>
            <w:hideMark/>
          </w:tcPr>
          <w:p w14:paraId="796AEB2E"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Acciones emitidas por entidades del exterior, acciones inscritas en el RNVE, los certificados de depósitos negociables representativos de dichas acciones (</w:t>
            </w:r>
            <w:proofErr w:type="spellStart"/>
            <w:r w:rsidRPr="00C73F29">
              <w:rPr>
                <w:rFonts w:ascii="Verdana" w:hAnsi="Verdana"/>
                <w:sz w:val="16"/>
                <w:szCs w:val="16"/>
              </w:rPr>
              <w:t>ADRs</w:t>
            </w:r>
            <w:proofErr w:type="spellEnd"/>
            <w:r w:rsidRPr="00C73F29">
              <w:rPr>
                <w:rFonts w:ascii="Verdana" w:hAnsi="Verdana"/>
                <w:sz w:val="16"/>
                <w:szCs w:val="16"/>
              </w:rPr>
              <w:t xml:space="preserve"> y </w:t>
            </w:r>
            <w:proofErr w:type="spellStart"/>
            <w:r w:rsidRPr="00C73F29">
              <w:rPr>
                <w:rFonts w:ascii="Verdana" w:hAnsi="Verdana"/>
                <w:sz w:val="16"/>
                <w:szCs w:val="16"/>
              </w:rPr>
              <w:t>GDRs</w:t>
            </w:r>
            <w:proofErr w:type="spellEnd"/>
            <w:r w:rsidRPr="00C73F29">
              <w:rPr>
                <w:rFonts w:ascii="Verdana" w:hAnsi="Verdana"/>
                <w:sz w:val="16"/>
                <w:szCs w:val="16"/>
              </w:rPr>
              <w:t>)</w:t>
            </w:r>
          </w:p>
        </w:tc>
        <w:tc>
          <w:tcPr>
            <w:tcW w:w="3122" w:type="dxa"/>
            <w:gridSpan w:val="5"/>
            <w:tcBorders>
              <w:top w:val="single" w:sz="4" w:space="0" w:color="auto"/>
              <w:left w:val="nil"/>
              <w:bottom w:val="single" w:sz="4" w:space="0" w:color="auto"/>
              <w:right w:val="single" w:sz="4" w:space="0" w:color="auto"/>
            </w:tcBorders>
            <w:vAlign w:val="center"/>
            <w:hideMark/>
          </w:tcPr>
          <w:p w14:paraId="15CD4E7B"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4,5%</w:t>
            </w:r>
          </w:p>
        </w:tc>
      </w:tr>
      <w:tr w:rsidR="009D1CDF" w:rsidRPr="00507671" w14:paraId="3FCD4D7C" w14:textId="77777777" w:rsidTr="007579D6">
        <w:trPr>
          <w:trHeight w:val="207"/>
          <w:tblHeader/>
        </w:trPr>
        <w:tc>
          <w:tcPr>
            <w:tcW w:w="5648" w:type="dxa"/>
            <w:tcBorders>
              <w:top w:val="nil"/>
              <w:left w:val="single" w:sz="4" w:space="0" w:color="auto"/>
              <w:bottom w:val="single" w:sz="4" w:space="0" w:color="auto"/>
              <w:right w:val="single" w:sz="4" w:space="0" w:color="auto"/>
            </w:tcBorders>
            <w:shd w:val="clear" w:color="auto" w:fill="FFFFFF"/>
            <w:vAlign w:val="center"/>
            <w:hideMark/>
          </w:tcPr>
          <w:p w14:paraId="7980F42E"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Participaciones en FIC</w:t>
            </w:r>
          </w:p>
        </w:tc>
        <w:tc>
          <w:tcPr>
            <w:tcW w:w="1168" w:type="dxa"/>
            <w:tcBorders>
              <w:top w:val="single" w:sz="4" w:space="0" w:color="auto"/>
              <w:left w:val="nil"/>
              <w:bottom w:val="single" w:sz="4" w:space="0" w:color="auto"/>
              <w:right w:val="single" w:sz="4" w:space="0" w:color="auto"/>
            </w:tcBorders>
            <w:vAlign w:val="center"/>
            <w:hideMark/>
          </w:tcPr>
          <w:p w14:paraId="63248BC3"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4,5%</w:t>
            </w:r>
          </w:p>
        </w:tc>
        <w:tc>
          <w:tcPr>
            <w:tcW w:w="1954" w:type="dxa"/>
            <w:gridSpan w:val="4"/>
            <w:tcBorders>
              <w:top w:val="single" w:sz="4" w:space="0" w:color="auto"/>
              <w:left w:val="nil"/>
              <w:bottom w:val="single" w:sz="4" w:space="0" w:color="auto"/>
              <w:right w:val="single" w:sz="4" w:space="0" w:color="auto"/>
            </w:tcBorders>
            <w:vAlign w:val="center"/>
            <w:hideMark/>
          </w:tcPr>
          <w:p w14:paraId="0C12943B"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8,5%</w:t>
            </w:r>
          </w:p>
        </w:tc>
      </w:tr>
      <w:tr w:rsidR="009D1CDF" w:rsidRPr="00507671" w14:paraId="3236DA4D" w14:textId="77777777" w:rsidTr="007579D6">
        <w:trPr>
          <w:trHeight w:val="207"/>
          <w:tblHeader/>
        </w:trPr>
        <w:tc>
          <w:tcPr>
            <w:tcW w:w="5648" w:type="dxa"/>
            <w:tcBorders>
              <w:top w:val="nil"/>
              <w:left w:val="single" w:sz="4" w:space="0" w:color="auto"/>
              <w:bottom w:val="single" w:sz="4" w:space="0" w:color="auto"/>
              <w:right w:val="single" w:sz="4" w:space="0" w:color="auto"/>
            </w:tcBorders>
            <w:shd w:val="clear" w:color="auto" w:fill="FFFFFF"/>
            <w:vAlign w:val="center"/>
            <w:hideMark/>
          </w:tcPr>
          <w:p w14:paraId="422274C6"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 xml:space="preserve">Los demás activos no incluidos en ninguna otra categoría. Estos activos corresponden a los señalados en el numeral 2.31.1.2.9 del Decreto 2555 de 2010. </w:t>
            </w:r>
          </w:p>
        </w:tc>
        <w:tc>
          <w:tcPr>
            <w:tcW w:w="3122" w:type="dxa"/>
            <w:gridSpan w:val="5"/>
            <w:tcBorders>
              <w:top w:val="single" w:sz="4" w:space="0" w:color="auto"/>
              <w:left w:val="nil"/>
              <w:bottom w:val="single" w:sz="4" w:space="0" w:color="auto"/>
              <w:right w:val="single" w:sz="4" w:space="0" w:color="auto"/>
            </w:tcBorders>
            <w:vAlign w:val="center"/>
            <w:hideMark/>
          </w:tcPr>
          <w:p w14:paraId="3EE6AAE5"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8,5%</w:t>
            </w:r>
          </w:p>
        </w:tc>
      </w:tr>
      <w:tr w:rsidR="009D1CDF" w:rsidRPr="00507671" w14:paraId="3F7FCA24" w14:textId="77777777" w:rsidTr="007579D6">
        <w:trPr>
          <w:trHeight w:val="896"/>
          <w:tblHeader/>
        </w:trPr>
        <w:tc>
          <w:tcPr>
            <w:tcW w:w="56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617DE8"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Productos estructurados</w:t>
            </w:r>
          </w:p>
        </w:tc>
        <w:tc>
          <w:tcPr>
            <w:tcW w:w="3122" w:type="dxa"/>
            <w:gridSpan w:val="5"/>
            <w:tcBorders>
              <w:top w:val="single" w:sz="4" w:space="0" w:color="auto"/>
              <w:left w:val="nil"/>
              <w:bottom w:val="single" w:sz="4" w:space="0" w:color="auto"/>
              <w:right w:val="single" w:sz="4" w:space="0" w:color="auto"/>
            </w:tcBorders>
            <w:vAlign w:val="center"/>
            <w:hideMark/>
          </w:tcPr>
          <w:p w14:paraId="2028277E"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Sujeto a los criterios señalados en el artículo 2.31.1.2.9 parágrafo 2 del Decreto 2555 de 2010 y a las calificaciones del emisor presentadas en la presente circular</w:t>
            </w:r>
          </w:p>
        </w:tc>
      </w:tr>
      <w:tr w:rsidR="009D1CDF" w:rsidRPr="00507671" w14:paraId="380A6FE8" w14:textId="77777777" w:rsidTr="007579D6">
        <w:trPr>
          <w:trHeight w:val="896"/>
          <w:tblHeader/>
        </w:trPr>
        <w:tc>
          <w:tcPr>
            <w:tcW w:w="56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7A97DA"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 xml:space="preserve">Cuentas por cobrar con reaseguradores del exterior que cuenten con una calificación de grado de inversión otorgada por una sociedad calificadora reconocida internacionalmente, netas del depósito de reserva </w:t>
            </w:r>
          </w:p>
        </w:tc>
        <w:tc>
          <w:tcPr>
            <w:tcW w:w="1811" w:type="dxa"/>
            <w:gridSpan w:val="2"/>
            <w:tcBorders>
              <w:top w:val="single" w:sz="4" w:space="0" w:color="auto"/>
              <w:left w:val="nil"/>
              <w:bottom w:val="single" w:sz="4" w:space="0" w:color="auto"/>
              <w:right w:val="single" w:sz="4" w:space="0" w:color="auto"/>
            </w:tcBorders>
            <w:vAlign w:val="center"/>
            <w:hideMark/>
          </w:tcPr>
          <w:p w14:paraId="0E2058B2"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Probabilidad de incumplimiento de la entidad reaseguradora en un año, de acuerdo con las matrices de transición más recientes publicadas por las sociedades calificadoras.</w:t>
            </w:r>
          </w:p>
        </w:tc>
        <w:tc>
          <w:tcPr>
            <w:tcW w:w="654" w:type="dxa"/>
            <w:gridSpan w:val="2"/>
            <w:tcBorders>
              <w:top w:val="single" w:sz="4" w:space="0" w:color="auto"/>
              <w:left w:val="nil"/>
              <w:bottom w:val="single" w:sz="4" w:space="0" w:color="auto"/>
              <w:right w:val="single" w:sz="4" w:space="0" w:color="auto"/>
            </w:tcBorders>
            <w:vAlign w:val="center"/>
            <w:hideMark/>
          </w:tcPr>
          <w:p w14:paraId="09F7579E"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8,5%</w:t>
            </w:r>
          </w:p>
        </w:tc>
        <w:tc>
          <w:tcPr>
            <w:tcW w:w="657" w:type="dxa"/>
            <w:tcBorders>
              <w:top w:val="single" w:sz="4" w:space="0" w:color="auto"/>
              <w:left w:val="nil"/>
              <w:bottom w:val="single" w:sz="4" w:space="0" w:color="auto"/>
              <w:right w:val="single" w:sz="4" w:space="0" w:color="auto"/>
            </w:tcBorders>
            <w:vAlign w:val="center"/>
            <w:hideMark/>
          </w:tcPr>
          <w:p w14:paraId="70E90FA7" w14:textId="77777777" w:rsidR="009D1CDF" w:rsidRPr="00C73F29" w:rsidRDefault="009D1CDF" w:rsidP="007579D6">
            <w:pPr>
              <w:spacing w:after="0"/>
              <w:jc w:val="both"/>
              <w:rPr>
                <w:rFonts w:ascii="Verdana" w:hAnsi="Verdana"/>
                <w:sz w:val="16"/>
                <w:szCs w:val="16"/>
              </w:rPr>
            </w:pPr>
            <w:r w:rsidRPr="00C73F29">
              <w:rPr>
                <w:rFonts w:ascii="Verdana" w:hAnsi="Verdana"/>
                <w:sz w:val="16"/>
                <w:szCs w:val="16"/>
              </w:rPr>
              <w:t>8,5%</w:t>
            </w:r>
          </w:p>
        </w:tc>
      </w:tr>
    </w:tbl>
    <w:p w14:paraId="0379E81A" w14:textId="77777777" w:rsidR="00BD48EC" w:rsidRDefault="00BD48EC" w:rsidP="00FC64A9">
      <w:pPr>
        <w:spacing w:after="0"/>
        <w:rPr>
          <w:rFonts w:ascii="Verdana" w:hAnsi="Verdana"/>
          <w:b/>
          <w:sz w:val="20"/>
          <w:szCs w:val="20"/>
        </w:rPr>
      </w:pPr>
      <w:r w:rsidRPr="00507671">
        <w:rPr>
          <w:rFonts w:ascii="Verdana" w:hAnsi="Verdana"/>
          <w:b/>
          <w:sz w:val="20"/>
          <w:szCs w:val="20"/>
        </w:rPr>
        <w:t>Categoría III</w:t>
      </w:r>
    </w:p>
    <w:p w14:paraId="10F96CAF" w14:textId="77777777" w:rsidR="00FC64A9" w:rsidRDefault="00FC64A9" w:rsidP="00BD48EC">
      <w:pPr>
        <w:spacing w:after="0"/>
        <w:jc w:val="center"/>
        <w:rPr>
          <w:rFonts w:ascii="Verdana" w:hAnsi="Verdana"/>
          <w:b/>
          <w:sz w:val="20"/>
          <w:szCs w:val="20"/>
        </w:rPr>
      </w:pPr>
    </w:p>
    <w:p w14:paraId="76C9EFAE" w14:textId="77777777" w:rsidR="00BD48EC" w:rsidRDefault="00BD48EC" w:rsidP="00BD48EC">
      <w:pPr>
        <w:spacing w:after="0"/>
        <w:jc w:val="center"/>
        <w:rPr>
          <w:rFonts w:ascii="Verdana" w:hAnsi="Verdana"/>
          <w:b/>
          <w:sz w:val="20"/>
          <w:szCs w:val="20"/>
        </w:rPr>
      </w:pPr>
    </w:p>
    <w:p w14:paraId="2801778F" w14:textId="77777777" w:rsidR="00657B80" w:rsidRDefault="00657B80" w:rsidP="006A343B">
      <w:pPr>
        <w:spacing w:after="0"/>
        <w:jc w:val="center"/>
        <w:rPr>
          <w:rFonts w:ascii="Verdana" w:hAnsi="Verdana"/>
          <w:b/>
          <w:sz w:val="20"/>
          <w:szCs w:val="20"/>
        </w:rPr>
      </w:pPr>
    </w:p>
    <w:p w14:paraId="543010CC" w14:textId="77777777" w:rsidR="00657B80" w:rsidRDefault="00657B80" w:rsidP="006A343B">
      <w:pPr>
        <w:spacing w:after="0"/>
        <w:jc w:val="center"/>
        <w:rPr>
          <w:rFonts w:ascii="Verdana" w:hAnsi="Verdana"/>
          <w:b/>
          <w:sz w:val="20"/>
          <w:szCs w:val="20"/>
        </w:rPr>
      </w:pPr>
    </w:p>
    <w:p w14:paraId="701839F3" w14:textId="77777777" w:rsidR="00657B80" w:rsidRDefault="00657B80" w:rsidP="006A343B">
      <w:pPr>
        <w:spacing w:after="0"/>
        <w:jc w:val="center"/>
        <w:rPr>
          <w:rFonts w:ascii="Verdana" w:hAnsi="Verdana"/>
          <w:b/>
          <w:sz w:val="20"/>
          <w:szCs w:val="20"/>
        </w:rPr>
      </w:pPr>
    </w:p>
    <w:p w14:paraId="3ABDE7E7" w14:textId="77777777" w:rsidR="00657B80" w:rsidRDefault="00657B80" w:rsidP="006A343B">
      <w:pPr>
        <w:spacing w:after="0"/>
        <w:jc w:val="center"/>
        <w:rPr>
          <w:rFonts w:ascii="Verdana" w:hAnsi="Verdana"/>
          <w:b/>
          <w:sz w:val="20"/>
          <w:szCs w:val="20"/>
        </w:rPr>
      </w:pPr>
    </w:p>
    <w:p w14:paraId="2FA3E196" w14:textId="77777777" w:rsidR="00657B80" w:rsidRDefault="00657B80" w:rsidP="006A343B">
      <w:pPr>
        <w:spacing w:after="0"/>
        <w:jc w:val="center"/>
        <w:rPr>
          <w:rFonts w:ascii="Verdana" w:hAnsi="Verdana"/>
          <w:b/>
          <w:sz w:val="20"/>
          <w:szCs w:val="20"/>
        </w:rPr>
      </w:pPr>
    </w:p>
    <w:p w14:paraId="4401A7D3" w14:textId="77777777" w:rsidR="00FC64A9" w:rsidRDefault="00FC64A9" w:rsidP="006A343B">
      <w:pPr>
        <w:spacing w:after="0"/>
        <w:jc w:val="center"/>
        <w:rPr>
          <w:rFonts w:ascii="Verdana" w:hAnsi="Verdana"/>
          <w:b/>
          <w:sz w:val="20"/>
          <w:szCs w:val="20"/>
        </w:rPr>
      </w:pPr>
    </w:p>
    <w:p w14:paraId="4D1B4E83" w14:textId="77777777" w:rsidR="00FC64A9" w:rsidRDefault="00FC64A9" w:rsidP="006A343B">
      <w:pPr>
        <w:spacing w:after="0"/>
        <w:jc w:val="center"/>
        <w:rPr>
          <w:rFonts w:ascii="Verdana" w:hAnsi="Verdana"/>
          <w:b/>
          <w:sz w:val="20"/>
          <w:szCs w:val="20"/>
        </w:rPr>
      </w:pPr>
    </w:p>
    <w:p w14:paraId="2BF608DC" w14:textId="77777777" w:rsidR="00FC64A9" w:rsidRDefault="00FC64A9" w:rsidP="006A343B">
      <w:pPr>
        <w:spacing w:after="0"/>
        <w:jc w:val="center"/>
        <w:rPr>
          <w:rFonts w:ascii="Verdana" w:hAnsi="Verdana"/>
          <w:b/>
          <w:sz w:val="20"/>
          <w:szCs w:val="20"/>
        </w:rPr>
      </w:pPr>
    </w:p>
    <w:p w14:paraId="66C9CC71" w14:textId="77777777" w:rsidR="00FC64A9" w:rsidRDefault="00FC64A9" w:rsidP="006A343B">
      <w:pPr>
        <w:spacing w:after="0"/>
        <w:jc w:val="center"/>
        <w:rPr>
          <w:rFonts w:ascii="Verdana" w:hAnsi="Verdana"/>
          <w:b/>
          <w:sz w:val="20"/>
          <w:szCs w:val="20"/>
        </w:rPr>
      </w:pPr>
    </w:p>
    <w:p w14:paraId="48F0E022" w14:textId="77777777" w:rsidR="00FC64A9" w:rsidRDefault="00FC64A9" w:rsidP="006A343B">
      <w:pPr>
        <w:spacing w:after="0"/>
        <w:jc w:val="center"/>
        <w:rPr>
          <w:rFonts w:ascii="Verdana" w:hAnsi="Verdana"/>
          <w:b/>
          <w:sz w:val="20"/>
          <w:szCs w:val="20"/>
        </w:rPr>
      </w:pPr>
    </w:p>
    <w:p w14:paraId="406085BC" w14:textId="77777777" w:rsidR="004662E3" w:rsidRDefault="004662E3" w:rsidP="006A343B">
      <w:pPr>
        <w:spacing w:after="0"/>
        <w:jc w:val="center"/>
        <w:rPr>
          <w:rFonts w:ascii="Verdana" w:hAnsi="Verdana"/>
          <w:b/>
          <w:sz w:val="20"/>
          <w:szCs w:val="20"/>
        </w:rPr>
      </w:pPr>
    </w:p>
    <w:p w14:paraId="0FD99C40" w14:textId="13A52A30" w:rsidR="009D1CDF" w:rsidRDefault="009D1CDF" w:rsidP="004662E3">
      <w:pPr>
        <w:spacing w:after="0"/>
        <w:jc w:val="center"/>
        <w:rPr>
          <w:rFonts w:ascii="Verdana" w:hAnsi="Verdana"/>
          <w:b/>
          <w:sz w:val="20"/>
          <w:szCs w:val="20"/>
        </w:rPr>
      </w:pPr>
    </w:p>
    <w:p w14:paraId="17E91112" w14:textId="77777777" w:rsidR="00F9737A" w:rsidRDefault="00F9737A" w:rsidP="00472787">
      <w:pPr>
        <w:spacing w:after="0"/>
        <w:rPr>
          <w:rFonts w:ascii="Verdana" w:hAnsi="Verdana"/>
          <w:b/>
          <w:sz w:val="20"/>
          <w:szCs w:val="20"/>
        </w:rPr>
      </w:pPr>
    </w:p>
    <w:p w14:paraId="411DDD90" w14:textId="77777777" w:rsidR="00F9737A" w:rsidRDefault="00F9737A" w:rsidP="00472787">
      <w:pPr>
        <w:spacing w:after="0"/>
        <w:rPr>
          <w:rFonts w:ascii="Verdana" w:hAnsi="Verdana"/>
          <w:b/>
          <w:sz w:val="20"/>
          <w:szCs w:val="20"/>
        </w:rPr>
      </w:pPr>
    </w:p>
    <w:p w14:paraId="21FD0AEC" w14:textId="77777777" w:rsidR="00F9737A" w:rsidRDefault="00F9737A" w:rsidP="00472787">
      <w:pPr>
        <w:spacing w:after="0"/>
        <w:rPr>
          <w:rFonts w:ascii="Verdana" w:hAnsi="Verdana"/>
          <w:b/>
          <w:sz w:val="20"/>
          <w:szCs w:val="20"/>
        </w:rPr>
      </w:pPr>
    </w:p>
    <w:p w14:paraId="14568DD6" w14:textId="77777777" w:rsidR="00F9737A" w:rsidRDefault="00F9737A" w:rsidP="00472787">
      <w:pPr>
        <w:spacing w:after="0"/>
        <w:rPr>
          <w:rFonts w:ascii="Verdana" w:hAnsi="Verdana"/>
          <w:b/>
          <w:sz w:val="20"/>
          <w:szCs w:val="20"/>
        </w:rPr>
      </w:pPr>
    </w:p>
    <w:p w14:paraId="2A4BFDC5" w14:textId="153E9C3C" w:rsidR="009D1CDF" w:rsidRDefault="009D1CDF" w:rsidP="00472787">
      <w:pPr>
        <w:spacing w:after="0"/>
        <w:rPr>
          <w:rFonts w:ascii="Verdana" w:hAnsi="Verdana"/>
          <w:b/>
          <w:sz w:val="20"/>
          <w:szCs w:val="20"/>
        </w:rPr>
      </w:pPr>
    </w:p>
    <w:p w14:paraId="3056DF82" w14:textId="77777777" w:rsidR="00F9737A" w:rsidRDefault="00F9737A" w:rsidP="00472787">
      <w:pPr>
        <w:spacing w:after="0"/>
        <w:rPr>
          <w:rFonts w:ascii="Verdana" w:hAnsi="Verdana"/>
          <w:b/>
          <w:sz w:val="20"/>
          <w:szCs w:val="20"/>
        </w:rPr>
      </w:pPr>
    </w:p>
    <w:p w14:paraId="0056C878" w14:textId="77777777" w:rsidR="00BD3ED5" w:rsidRDefault="00BD3ED5" w:rsidP="00472787">
      <w:pPr>
        <w:spacing w:after="0"/>
        <w:rPr>
          <w:rFonts w:ascii="Verdana" w:hAnsi="Verdana"/>
          <w:b/>
          <w:sz w:val="20"/>
          <w:szCs w:val="20"/>
        </w:rPr>
      </w:pPr>
    </w:p>
    <w:p w14:paraId="0FFD2A99" w14:textId="77777777" w:rsidR="00BD3ED5" w:rsidRDefault="00BD3ED5" w:rsidP="00472787">
      <w:pPr>
        <w:spacing w:after="0"/>
        <w:rPr>
          <w:rFonts w:ascii="Verdana" w:hAnsi="Verdana"/>
          <w:b/>
          <w:sz w:val="20"/>
          <w:szCs w:val="20"/>
        </w:rPr>
      </w:pPr>
    </w:p>
    <w:p w14:paraId="0BA05448" w14:textId="77777777" w:rsidR="00BD3ED5" w:rsidRDefault="00BD3ED5" w:rsidP="00472787">
      <w:pPr>
        <w:spacing w:after="0"/>
        <w:rPr>
          <w:rFonts w:ascii="Verdana" w:hAnsi="Verdana"/>
          <w:b/>
          <w:sz w:val="20"/>
          <w:szCs w:val="20"/>
        </w:rPr>
      </w:pPr>
    </w:p>
    <w:p w14:paraId="1A9FEFD6" w14:textId="77777777" w:rsidR="00BD3ED5" w:rsidRDefault="00BD3ED5" w:rsidP="00472787">
      <w:pPr>
        <w:spacing w:after="0"/>
        <w:rPr>
          <w:rFonts w:ascii="Verdana" w:hAnsi="Verdana"/>
          <w:b/>
          <w:sz w:val="20"/>
          <w:szCs w:val="20"/>
        </w:rPr>
      </w:pPr>
    </w:p>
    <w:p w14:paraId="6D1D9CAF" w14:textId="77777777" w:rsidR="00BD3ED5" w:rsidRDefault="00BD3ED5" w:rsidP="00472787">
      <w:pPr>
        <w:spacing w:after="0"/>
        <w:rPr>
          <w:rFonts w:ascii="Verdana" w:hAnsi="Verdana"/>
          <w:b/>
          <w:sz w:val="20"/>
          <w:szCs w:val="20"/>
        </w:rPr>
      </w:pPr>
    </w:p>
    <w:p w14:paraId="34F5EFF1" w14:textId="77777777" w:rsidR="00BD3ED5" w:rsidRDefault="00BD3ED5" w:rsidP="00472787">
      <w:pPr>
        <w:spacing w:after="0"/>
        <w:rPr>
          <w:rFonts w:ascii="Verdana" w:hAnsi="Verdana"/>
          <w:b/>
          <w:sz w:val="20"/>
          <w:szCs w:val="20"/>
        </w:rPr>
      </w:pPr>
    </w:p>
    <w:p w14:paraId="354F7034" w14:textId="77777777" w:rsidR="00BD3ED5" w:rsidRDefault="00BD3ED5" w:rsidP="00472787">
      <w:pPr>
        <w:spacing w:after="0"/>
        <w:rPr>
          <w:rFonts w:ascii="Verdana" w:hAnsi="Verdana"/>
          <w:b/>
          <w:sz w:val="20"/>
          <w:szCs w:val="20"/>
        </w:rPr>
      </w:pPr>
    </w:p>
    <w:p w14:paraId="118B4D11" w14:textId="77777777" w:rsidR="00BD3ED5" w:rsidRDefault="00BD3ED5" w:rsidP="00472787">
      <w:pPr>
        <w:spacing w:after="0"/>
        <w:rPr>
          <w:rFonts w:ascii="Verdana" w:hAnsi="Verdana"/>
          <w:b/>
          <w:sz w:val="20"/>
          <w:szCs w:val="20"/>
        </w:rPr>
      </w:pPr>
    </w:p>
    <w:p w14:paraId="4713AFE1" w14:textId="77777777" w:rsidR="00BD3ED5" w:rsidRDefault="00BD3ED5" w:rsidP="00472787">
      <w:pPr>
        <w:spacing w:after="0"/>
        <w:rPr>
          <w:rFonts w:ascii="Verdana" w:hAnsi="Verdana"/>
          <w:b/>
          <w:sz w:val="20"/>
          <w:szCs w:val="20"/>
        </w:rPr>
      </w:pPr>
    </w:p>
    <w:p w14:paraId="4C6071C1" w14:textId="77777777" w:rsidR="00BD3ED5" w:rsidRDefault="00BD3ED5" w:rsidP="00472787">
      <w:pPr>
        <w:spacing w:after="0"/>
        <w:rPr>
          <w:rFonts w:ascii="Verdana" w:hAnsi="Verdana"/>
          <w:b/>
          <w:sz w:val="20"/>
          <w:szCs w:val="20"/>
        </w:rPr>
      </w:pPr>
    </w:p>
    <w:p w14:paraId="2A28A521" w14:textId="77777777" w:rsidR="00BD3ED5" w:rsidRDefault="00BD3ED5" w:rsidP="00472787">
      <w:pPr>
        <w:spacing w:after="0"/>
        <w:rPr>
          <w:rFonts w:ascii="Verdana" w:hAnsi="Verdana"/>
          <w:b/>
          <w:sz w:val="20"/>
          <w:szCs w:val="20"/>
        </w:rPr>
      </w:pPr>
    </w:p>
    <w:p w14:paraId="4846E7CE" w14:textId="77777777" w:rsidR="00BD3ED5" w:rsidRDefault="00BD3ED5" w:rsidP="00472787">
      <w:pPr>
        <w:spacing w:after="0"/>
        <w:rPr>
          <w:rFonts w:ascii="Verdana" w:hAnsi="Verdana"/>
          <w:b/>
          <w:sz w:val="20"/>
          <w:szCs w:val="20"/>
        </w:rPr>
      </w:pPr>
    </w:p>
    <w:p w14:paraId="6786816A" w14:textId="77777777" w:rsidR="00BD3ED5" w:rsidRDefault="00BD3ED5" w:rsidP="00472787">
      <w:pPr>
        <w:spacing w:after="0"/>
        <w:rPr>
          <w:rFonts w:ascii="Verdana" w:hAnsi="Verdana"/>
          <w:b/>
          <w:sz w:val="20"/>
          <w:szCs w:val="20"/>
        </w:rPr>
      </w:pPr>
    </w:p>
    <w:p w14:paraId="124CC354" w14:textId="77777777" w:rsidR="00BD3ED5" w:rsidRDefault="00BD3ED5" w:rsidP="00472787">
      <w:pPr>
        <w:spacing w:after="0"/>
        <w:rPr>
          <w:rFonts w:ascii="Verdana" w:hAnsi="Verdana"/>
          <w:b/>
          <w:sz w:val="20"/>
          <w:szCs w:val="20"/>
        </w:rPr>
      </w:pPr>
    </w:p>
    <w:p w14:paraId="3BE77CC6" w14:textId="77777777" w:rsidR="00BD3ED5" w:rsidRDefault="00BD3ED5" w:rsidP="00472787">
      <w:pPr>
        <w:spacing w:after="0"/>
        <w:rPr>
          <w:rFonts w:ascii="Verdana" w:hAnsi="Verdana"/>
          <w:b/>
          <w:sz w:val="20"/>
          <w:szCs w:val="20"/>
        </w:rPr>
      </w:pPr>
    </w:p>
    <w:p w14:paraId="3AE0D8AC" w14:textId="77777777" w:rsidR="00BD3ED5" w:rsidRDefault="00BD3ED5" w:rsidP="00472787">
      <w:pPr>
        <w:spacing w:after="0"/>
        <w:rPr>
          <w:rFonts w:ascii="Verdana" w:hAnsi="Verdana"/>
          <w:b/>
          <w:sz w:val="20"/>
          <w:szCs w:val="20"/>
        </w:rPr>
      </w:pPr>
    </w:p>
    <w:p w14:paraId="15A97C6A" w14:textId="77777777" w:rsidR="00BD3ED5" w:rsidRDefault="00BD3ED5" w:rsidP="00472787">
      <w:pPr>
        <w:spacing w:after="0"/>
        <w:rPr>
          <w:rFonts w:ascii="Verdana" w:hAnsi="Verdana"/>
          <w:b/>
          <w:sz w:val="20"/>
          <w:szCs w:val="20"/>
        </w:rPr>
      </w:pPr>
    </w:p>
    <w:p w14:paraId="5A1A492A" w14:textId="77777777" w:rsidR="00BD3ED5" w:rsidRDefault="00BD3ED5" w:rsidP="00472787">
      <w:pPr>
        <w:spacing w:after="0"/>
        <w:rPr>
          <w:rFonts w:ascii="Verdana" w:hAnsi="Verdana"/>
          <w:b/>
          <w:sz w:val="20"/>
          <w:szCs w:val="20"/>
        </w:rPr>
      </w:pPr>
    </w:p>
    <w:p w14:paraId="68BD33B7" w14:textId="77777777" w:rsidR="00BD3ED5" w:rsidRDefault="00BD3ED5" w:rsidP="00472787">
      <w:pPr>
        <w:spacing w:after="0"/>
        <w:rPr>
          <w:rFonts w:ascii="Verdana" w:hAnsi="Verdana"/>
          <w:b/>
          <w:sz w:val="20"/>
          <w:szCs w:val="20"/>
        </w:rPr>
      </w:pPr>
    </w:p>
    <w:p w14:paraId="6C8346C0" w14:textId="77777777" w:rsidR="00BD3ED5" w:rsidRDefault="00BD3ED5" w:rsidP="00472787">
      <w:pPr>
        <w:spacing w:after="0"/>
        <w:rPr>
          <w:rFonts w:ascii="Verdana" w:hAnsi="Verdana"/>
          <w:b/>
          <w:sz w:val="20"/>
          <w:szCs w:val="20"/>
        </w:rPr>
      </w:pPr>
    </w:p>
    <w:p w14:paraId="021183C6" w14:textId="77777777" w:rsidR="00BD3ED5" w:rsidRDefault="00BD3ED5" w:rsidP="00472787">
      <w:pPr>
        <w:spacing w:after="0"/>
        <w:rPr>
          <w:rFonts w:ascii="Verdana" w:hAnsi="Verdana"/>
          <w:b/>
          <w:sz w:val="20"/>
          <w:szCs w:val="20"/>
        </w:rPr>
      </w:pPr>
    </w:p>
    <w:p w14:paraId="0E8D76E5" w14:textId="77777777" w:rsidR="00BD3ED5" w:rsidRDefault="00BD3ED5" w:rsidP="00472787">
      <w:pPr>
        <w:spacing w:after="0"/>
        <w:rPr>
          <w:rFonts w:ascii="Verdana" w:hAnsi="Verdana"/>
          <w:b/>
          <w:sz w:val="20"/>
          <w:szCs w:val="20"/>
        </w:rPr>
      </w:pPr>
    </w:p>
    <w:p w14:paraId="5CA68FEE" w14:textId="77777777" w:rsidR="00BD3ED5" w:rsidRDefault="00BD3ED5" w:rsidP="00472787">
      <w:pPr>
        <w:spacing w:after="0"/>
        <w:rPr>
          <w:rFonts w:ascii="Verdana" w:hAnsi="Verdana"/>
          <w:b/>
          <w:sz w:val="20"/>
          <w:szCs w:val="20"/>
        </w:rPr>
      </w:pPr>
    </w:p>
    <w:p w14:paraId="07A62F46" w14:textId="6416E044" w:rsidR="00F27B1A" w:rsidRPr="00507671" w:rsidRDefault="00F27B1A" w:rsidP="00472787">
      <w:pPr>
        <w:spacing w:after="0"/>
        <w:rPr>
          <w:rFonts w:ascii="Verdana" w:hAnsi="Verdana"/>
          <w:b/>
          <w:sz w:val="20"/>
          <w:szCs w:val="20"/>
        </w:rPr>
      </w:pPr>
      <w:r>
        <w:rPr>
          <w:rFonts w:ascii="Verdana" w:hAnsi="Verdana"/>
          <w:b/>
          <w:sz w:val="20"/>
          <w:szCs w:val="20"/>
        </w:rPr>
        <w:t>Ca</w:t>
      </w:r>
      <w:r w:rsidR="00BD3ED5">
        <w:rPr>
          <w:rFonts w:ascii="Verdana" w:hAnsi="Verdana"/>
          <w:b/>
          <w:sz w:val="20"/>
          <w:szCs w:val="20"/>
        </w:rPr>
        <w:t>t</w:t>
      </w:r>
      <w:r>
        <w:rPr>
          <w:rFonts w:ascii="Verdana" w:hAnsi="Verdana"/>
          <w:b/>
          <w:sz w:val="20"/>
          <w:szCs w:val="20"/>
        </w:rPr>
        <w:t>egoría IV</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74"/>
        <w:gridCol w:w="3119"/>
      </w:tblGrid>
      <w:tr w:rsidR="009D1CDF" w:rsidRPr="00507671" w14:paraId="4BBDD04B" w14:textId="77777777">
        <w:trPr>
          <w:trHeight w:val="720"/>
        </w:trPr>
        <w:tc>
          <w:tcPr>
            <w:tcW w:w="63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534316" w14:textId="77777777" w:rsidR="009D1CDF" w:rsidRPr="00C73F29" w:rsidRDefault="009D1CDF" w:rsidP="00C73F29">
            <w:pPr>
              <w:spacing w:after="0"/>
              <w:jc w:val="center"/>
              <w:rPr>
                <w:rFonts w:ascii="Verdana" w:hAnsi="Verdana"/>
                <w:b/>
                <w:bCs/>
                <w:sz w:val="16"/>
                <w:szCs w:val="16"/>
              </w:rPr>
            </w:pPr>
            <w:r w:rsidRPr="00C73F29">
              <w:rPr>
                <w:rFonts w:ascii="Verdana" w:hAnsi="Verdana"/>
                <w:b/>
                <w:bCs/>
                <w:sz w:val="16"/>
                <w:szCs w:val="16"/>
              </w:rPr>
              <w:t>Activos</w:t>
            </w:r>
          </w:p>
        </w:tc>
        <w:tc>
          <w:tcPr>
            <w:tcW w:w="31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4178A2" w14:textId="41531DD0" w:rsidR="009D1CDF" w:rsidRPr="00C73F29" w:rsidRDefault="009D1CDF" w:rsidP="00C73F29">
            <w:pPr>
              <w:spacing w:after="0"/>
              <w:jc w:val="center"/>
              <w:rPr>
                <w:rFonts w:ascii="Verdana" w:hAnsi="Verdana"/>
                <w:b/>
                <w:bCs/>
                <w:sz w:val="16"/>
                <w:szCs w:val="16"/>
              </w:rPr>
            </w:pPr>
            <w:r w:rsidRPr="00C73F29">
              <w:rPr>
                <w:rFonts w:ascii="Verdana" w:hAnsi="Verdana"/>
                <w:b/>
                <w:bCs/>
                <w:sz w:val="16"/>
                <w:szCs w:val="16"/>
              </w:rPr>
              <w:t>Porcentaje de ponderación para todas las calificaciones crediticias</w:t>
            </w:r>
          </w:p>
        </w:tc>
      </w:tr>
      <w:tr w:rsidR="009D1CDF" w:rsidRPr="00507671" w14:paraId="1DF5CEEE" w14:textId="77777777">
        <w:trPr>
          <w:trHeight w:val="720"/>
        </w:trPr>
        <w:tc>
          <w:tcPr>
            <w:tcW w:w="6374" w:type="dxa"/>
            <w:tcBorders>
              <w:top w:val="single" w:sz="4" w:space="0" w:color="auto"/>
              <w:left w:val="single" w:sz="4" w:space="0" w:color="auto"/>
              <w:bottom w:val="single" w:sz="4" w:space="0" w:color="auto"/>
              <w:right w:val="single" w:sz="4" w:space="0" w:color="auto"/>
            </w:tcBorders>
            <w:vAlign w:val="center"/>
            <w:hideMark/>
          </w:tcPr>
          <w:p w14:paraId="4BECA73C" w14:textId="77777777" w:rsidR="009D1CDF" w:rsidRPr="00C73F29" w:rsidRDefault="009D1CDF">
            <w:pPr>
              <w:spacing w:after="0"/>
              <w:jc w:val="both"/>
              <w:rPr>
                <w:rFonts w:ascii="Verdana" w:hAnsi="Verdana"/>
                <w:sz w:val="16"/>
                <w:szCs w:val="16"/>
              </w:rPr>
            </w:pPr>
            <w:r w:rsidRPr="00C73F29">
              <w:rPr>
                <w:rFonts w:ascii="Verdana" w:hAnsi="Verdana"/>
                <w:sz w:val="16"/>
                <w:szCs w:val="16"/>
              </w:rPr>
              <w:t>Bienes raíces no productivos descritos en el numeral 3.10 de artículo 2.31.3.1.2 del Decreto 2555 de 2010 (modificado por el Decreto 1398 de 2020)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0D88868" w14:textId="77777777" w:rsidR="009D1CDF" w:rsidRPr="00C73F29" w:rsidRDefault="009D1CDF" w:rsidP="00C73F29">
            <w:pPr>
              <w:spacing w:after="0"/>
              <w:jc w:val="center"/>
              <w:rPr>
                <w:rFonts w:ascii="Verdana" w:hAnsi="Verdana"/>
                <w:sz w:val="16"/>
                <w:szCs w:val="16"/>
              </w:rPr>
            </w:pPr>
            <w:r w:rsidRPr="00C73F29">
              <w:rPr>
                <w:rFonts w:ascii="Verdana" w:hAnsi="Verdana"/>
                <w:sz w:val="16"/>
                <w:szCs w:val="16"/>
              </w:rPr>
              <w:t>15%</w:t>
            </w:r>
          </w:p>
        </w:tc>
      </w:tr>
    </w:tbl>
    <w:p w14:paraId="7A104F6F" w14:textId="77777777" w:rsidR="009D1CDF" w:rsidRPr="00507671" w:rsidRDefault="009D1CDF" w:rsidP="009D1CDF">
      <w:pPr>
        <w:spacing w:after="0"/>
        <w:jc w:val="both"/>
        <w:rPr>
          <w:rFonts w:ascii="Verdana" w:hAnsi="Verdana"/>
          <w:b/>
          <w:sz w:val="20"/>
          <w:szCs w:val="20"/>
        </w:rPr>
      </w:pPr>
    </w:p>
    <w:p w14:paraId="5EC44065" w14:textId="7A4491F6" w:rsidR="009D1CDF" w:rsidRPr="00AD3542" w:rsidRDefault="00AD3542" w:rsidP="00AD3542">
      <w:pPr>
        <w:pStyle w:val="Prrafodelista"/>
        <w:numPr>
          <w:ilvl w:val="0"/>
          <w:numId w:val="21"/>
        </w:numPr>
        <w:spacing w:after="0"/>
        <w:ind w:left="567" w:hanging="283"/>
        <w:jc w:val="both"/>
        <w:rPr>
          <w:rFonts w:ascii="Verdana" w:hAnsi="Verdana"/>
          <w:b/>
          <w:sz w:val="20"/>
          <w:szCs w:val="20"/>
        </w:rPr>
      </w:pPr>
      <w:r w:rsidRPr="00AD3542">
        <w:rPr>
          <w:rFonts w:ascii="Verdana" w:hAnsi="Verdana"/>
          <w:b/>
          <w:sz w:val="20"/>
          <w:szCs w:val="20"/>
        </w:rPr>
        <w:t>Riesgo operacional</w:t>
      </w:r>
    </w:p>
    <w:p w14:paraId="29E75243" w14:textId="77777777" w:rsidR="009D1CDF" w:rsidRPr="00507671" w:rsidRDefault="009D1CDF" w:rsidP="009D1CDF">
      <w:pPr>
        <w:spacing w:after="0"/>
        <w:jc w:val="both"/>
        <w:rPr>
          <w:rFonts w:ascii="Verdana" w:hAnsi="Verdana"/>
          <w:b/>
          <w:sz w:val="20"/>
          <w:szCs w:val="20"/>
        </w:rPr>
      </w:pPr>
    </w:p>
    <w:p w14:paraId="2A4B9993" w14:textId="14FF0BFD" w:rsidR="009D1CDF" w:rsidRPr="00343257" w:rsidRDefault="009D1CDF" w:rsidP="00343257">
      <w:pPr>
        <w:pStyle w:val="Prrafodelista"/>
        <w:numPr>
          <w:ilvl w:val="0"/>
          <w:numId w:val="30"/>
        </w:numPr>
        <w:spacing w:after="0"/>
        <w:ind w:left="851" w:hanging="284"/>
        <w:jc w:val="both"/>
        <w:rPr>
          <w:rFonts w:ascii="Verdana" w:hAnsi="Verdana"/>
          <w:b/>
          <w:sz w:val="20"/>
          <w:szCs w:val="20"/>
        </w:rPr>
      </w:pPr>
      <w:r w:rsidRPr="00343257">
        <w:rPr>
          <w:rFonts w:ascii="Verdana" w:hAnsi="Verdana"/>
          <w:b/>
          <w:sz w:val="20"/>
          <w:szCs w:val="20"/>
        </w:rPr>
        <w:t>Entidades de seguros que administran patrimonios de terceros mediante patrimonios autónomos</w:t>
      </w:r>
    </w:p>
    <w:p w14:paraId="314F6FF3" w14:textId="77777777" w:rsidR="009D1CDF" w:rsidRPr="00507671" w:rsidRDefault="009D1CDF" w:rsidP="009D1CDF">
      <w:pPr>
        <w:spacing w:after="0"/>
        <w:jc w:val="both"/>
        <w:rPr>
          <w:rFonts w:ascii="Verdana" w:hAnsi="Verdana"/>
          <w:b/>
          <w:sz w:val="20"/>
          <w:szCs w:val="20"/>
        </w:rPr>
      </w:pPr>
    </w:p>
    <w:p w14:paraId="737B5789" w14:textId="19D8BAF2" w:rsidR="00E61C78" w:rsidRDefault="00E61C78" w:rsidP="00E61C78">
      <w:pPr>
        <w:spacing w:after="0"/>
        <w:jc w:val="both"/>
        <w:rPr>
          <w:rFonts w:ascii="Verdana" w:hAnsi="Verdana"/>
          <w:sz w:val="20"/>
          <w:szCs w:val="20"/>
        </w:rPr>
      </w:pPr>
      <w:r w:rsidRPr="17FBBDE5">
        <w:rPr>
          <w:rFonts w:ascii="Verdana" w:hAnsi="Verdana"/>
          <w:sz w:val="20"/>
          <w:szCs w:val="20"/>
        </w:rPr>
        <w:t>2.5.</w:t>
      </w:r>
      <w:r w:rsidR="007D56F1" w:rsidRPr="17FBBDE5">
        <w:rPr>
          <w:rFonts w:ascii="Verdana" w:hAnsi="Verdana"/>
          <w:sz w:val="20"/>
          <w:szCs w:val="20"/>
        </w:rPr>
        <w:t>8</w:t>
      </w:r>
      <w:r w:rsidR="07816290" w:rsidRPr="17FBBDE5">
        <w:rPr>
          <w:rFonts w:ascii="Verdana" w:hAnsi="Verdana"/>
          <w:sz w:val="20"/>
          <w:szCs w:val="20"/>
        </w:rPr>
        <w:t>9</w:t>
      </w:r>
      <w:r w:rsidRPr="17FBBDE5">
        <w:rPr>
          <w:rFonts w:ascii="Verdana" w:hAnsi="Verdana"/>
          <w:sz w:val="20"/>
          <w:szCs w:val="20"/>
        </w:rPr>
        <w:t>.</w:t>
      </w:r>
    </w:p>
    <w:p w14:paraId="4444E9CD" w14:textId="77777777" w:rsidR="00041F75" w:rsidRDefault="009D1CDF" w:rsidP="00041F75">
      <w:pPr>
        <w:spacing w:after="0"/>
        <w:jc w:val="both"/>
        <w:rPr>
          <w:rFonts w:ascii="Verdana" w:hAnsi="Verdana"/>
          <w:sz w:val="20"/>
          <w:szCs w:val="20"/>
        </w:rPr>
      </w:pPr>
      <w:r w:rsidRPr="00507671">
        <w:rPr>
          <w:rFonts w:ascii="Verdana" w:hAnsi="Verdana"/>
          <w:sz w:val="20"/>
          <w:szCs w:val="20"/>
        </w:rPr>
        <w:t>De acuerdo con lo establecido en el parágrafo 1° del artículo 2.31.1.2.5. el Decreto 2555 de 2010, el cargo de capital por la exposición al riesgo operacional de estas entidades se debe calcular de la siguiente forma:</w:t>
      </w:r>
    </w:p>
    <w:p w14:paraId="42F24726" w14:textId="77777777" w:rsidR="00041F75" w:rsidRDefault="00041F75" w:rsidP="00041F75">
      <w:pPr>
        <w:spacing w:after="0"/>
        <w:jc w:val="both"/>
        <w:rPr>
          <w:rFonts w:ascii="Verdana" w:hAnsi="Verdana"/>
          <w:sz w:val="20"/>
          <w:szCs w:val="20"/>
        </w:rPr>
      </w:pPr>
    </w:p>
    <w:p w14:paraId="3864643D" w14:textId="7F303A60" w:rsidR="00041F75" w:rsidRDefault="00041F75" w:rsidP="00041F75">
      <w:pPr>
        <w:spacing w:after="0"/>
        <w:jc w:val="both"/>
        <w:rPr>
          <w:rFonts w:ascii="Verdana" w:hAnsi="Verdana"/>
          <w:sz w:val="20"/>
          <w:szCs w:val="20"/>
        </w:rPr>
      </w:pPr>
      <w:r w:rsidRPr="17FBBDE5">
        <w:rPr>
          <w:rFonts w:ascii="Verdana" w:hAnsi="Verdana"/>
          <w:sz w:val="20"/>
          <w:szCs w:val="20"/>
        </w:rPr>
        <w:t>2.5.</w:t>
      </w:r>
      <w:r w:rsidR="0CC6D971" w:rsidRPr="17FBBDE5">
        <w:rPr>
          <w:rFonts w:ascii="Verdana" w:hAnsi="Verdana"/>
          <w:sz w:val="20"/>
          <w:szCs w:val="20"/>
        </w:rPr>
        <w:t>90</w:t>
      </w:r>
      <w:r w:rsidRPr="17FBBDE5">
        <w:rPr>
          <w:rFonts w:ascii="Verdana" w:hAnsi="Verdana"/>
          <w:sz w:val="20"/>
          <w:szCs w:val="20"/>
        </w:rPr>
        <w:t>.</w:t>
      </w:r>
    </w:p>
    <w:p w14:paraId="6094B855" w14:textId="3DF214C1" w:rsidR="00041F75" w:rsidRDefault="009D1CDF" w:rsidP="00041F75">
      <w:pPr>
        <w:spacing w:after="0"/>
        <w:jc w:val="both"/>
        <w:rPr>
          <w:rFonts w:ascii="Verdana" w:hAnsi="Verdana"/>
          <w:sz w:val="20"/>
          <w:szCs w:val="20"/>
        </w:rPr>
      </w:pPr>
      <w:r w:rsidRPr="00041F75">
        <w:rPr>
          <w:rFonts w:ascii="Verdana" w:hAnsi="Verdana"/>
          <w:sz w:val="20"/>
          <w:szCs w:val="20"/>
        </w:rPr>
        <w:t>Sumar los ingresos por comisiones provenientes de la administración de recursos de terceros.</w:t>
      </w:r>
    </w:p>
    <w:p w14:paraId="2B9BB4C1" w14:textId="77777777" w:rsidR="00041F75" w:rsidRDefault="00041F75" w:rsidP="00041F75">
      <w:pPr>
        <w:spacing w:after="0"/>
        <w:jc w:val="both"/>
        <w:rPr>
          <w:rFonts w:ascii="Verdana" w:hAnsi="Verdana"/>
          <w:sz w:val="20"/>
          <w:szCs w:val="20"/>
        </w:rPr>
      </w:pPr>
    </w:p>
    <w:p w14:paraId="5D4F7139" w14:textId="26E960F0" w:rsidR="00041F75" w:rsidRDefault="00041F75" w:rsidP="00041F75">
      <w:pPr>
        <w:spacing w:after="0"/>
        <w:jc w:val="both"/>
        <w:rPr>
          <w:rFonts w:ascii="Verdana" w:hAnsi="Verdana"/>
          <w:sz w:val="20"/>
          <w:szCs w:val="20"/>
        </w:rPr>
      </w:pPr>
      <w:r w:rsidRPr="17FBBDE5">
        <w:rPr>
          <w:rFonts w:ascii="Verdana" w:hAnsi="Verdana"/>
          <w:sz w:val="20"/>
          <w:szCs w:val="20"/>
        </w:rPr>
        <w:t>2.5.</w:t>
      </w:r>
      <w:r w:rsidR="1F86186B" w:rsidRPr="17FBBDE5">
        <w:rPr>
          <w:rFonts w:ascii="Verdana" w:hAnsi="Verdana"/>
          <w:sz w:val="20"/>
          <w:szCs w:val="20"/>
        </w:rPr>
        <w:t>91</w:t>
      </w:r>
      <w:r w:rsidRPr="17FBBDE5">
        <w:rPr>
          <w:rFonts w:ascii="Verdana" w:hAnsi="Verdana"/>
          <w:sz w:val="20"/>
          <w:szCs w:val="20"/>
        </w:rPr>
        <w:t>.</w:t>
      </w:r>
    </w:p>
    <w:p w14:paraId="39580043" w14:textId="393EEA0C" w:rsidR="009D1CDF" w:rsidRPr="00041F75" w:rsidRDefault="009D1CDF" w:rsidP="00041F75">
      <w:pPr>
        <w:spacing w:after="0"/>
        <w:jc w:val="both"/>
        <w:rPr>
          <w:rFonts w:ascii="Verdana" w:hAnsi="Verdana"/>
          <w:sz w:val="20"/>
          <w:szCs w:val="20"/>
        </w:rPr>
      </w:pPr>
      <w:r w:rsidRPr="00041F75">
        <w:rPr>
          <w:rFonts w:ascii="Verdana" w:hAnsi="Verdana"/>
          <w:sz w:val="20"/>
          <w:szCs w:val="20"/>
        </w:rPr>
        <w:t>Deducir los gastos por comisiones causados por la custodia de los valores administrados, conforme a lo establecido en su jurisdicción, tal como opera en Colombia y según lo dispuesto en el Libro 37 de la Parte 2 del Decreto 2555 de 2010.</w:t>
      </w:r>
    </w:p>
    <w:p w14:paraId="5875E607" w14:textId="77777777" w:rsidR="00041F75" w:rsidRDefault="00041F75" w:rsidP="00041F75">
      <w:pPr>
        <w:spacing w:after="0"/>
        <w:jc w:val="both"/>
        <w:rPr>
          <w:rFonts w:ascii="Verdana" w:hAnsi="Verdana"/>
          <w:sz w:val="20"/>
          <w:szCs w:val="20"/>
        </w:rPr>
      </w:pPr>
    </w:p>
    <w:p w14:paraId="23AAE21A" w14:textId="66EF9029" w:rsidR="00041F75" w:rsidRDefault="002767DF" w:rsidP="00041F75">
      <w:pPr>
        <w:spacing w:after="0"/>
        <w:jc w:val="both"/>
        <w:rPr>
          <w:rFonts w:ascii="Verdana" w:hAnsi="Verdana"/>
          <w:sz w:val="20"/>
          <w:szCs w:val="20"/>
        </w:rPr>
      </w:pPr>
      <w:r w:rsidRPr="17FBBDE5">
        <w:rPr>
          <w:rFonts w:ascii="Verdana" w:hAnsi="Verdana"/>
          <w:sz w:val="20"/>
          <w:szCs w:val="20"/>
        </w:rPr>
        <w:t>2.5.</w:t>
      </w:r>
      <w:r w:rsidR="5314FEB0" w:rsidRPr="17FBBDE5">
        <w:rPr>
          <w:rFonts w:ascii="Verdana" w:hAnsi="Verdana"/>
          <w:sz w:val="20"/>
          <w:szCs w:val="20"/>
        </w:rPr>
        <w:t>92</w:t>
      </w:r>
      <w:r w:rsidRPr="17FBBDE5">
        <w:rPr>
          <w:rFonts w:ascii="Verdana" w:hAnsi="Verdana"/>
          <w:sz w:val="20"/>
          <w:szCs w:val="20"/>
        </w:rPr>
        <w:t>.</w:t>
      </w:r>
    </w:p>
    <w:p w14:paraId="56CD44F3" w14:textId="11DF519C" w:rsidR="009D1CDF" w:rsidRPr="00507671" w:rsidRDefault="009D1CDF" w:rsidP="00041F75">
      <w:pPr>
        <w:spacing w:after="0"/>
        <w:jc w:val="both"/>
        <w:rPr>
          <w:rFonts w:ascii="Verdana" w:hAnsi="Verdana"/>
          <w:sz w:val="20"/>
          <w:szCs w:val="20"/>
        </w:rPr>
      </w:pPr>
      <w:r w:rsidRPr="00E61C78">
        <w:rPr>
          <w:rFonts w:ascii="Verdana" w:hAnsi="Verdana"/>
          <w:sz w:val="20"/>
          <w:szCs w:val="20"/>
        </w:rPr>
        <w:t>Para el cálculo de l</w:t>
      </w:r>
      <w:r w:rsidR="00131783">
        <w:rPr>
          <w:rFonts w:ascii="Verdana" w:hAnsi="Verdana"/>
          <w:sz w:val="20"/>
          <w:szCs w:val="20"/>
        </w:rPr>
        <w:t xml:space="preserve">as instrucciones de los párrafos </w:t>
      </w:r>
      <w:r w:rsidR="00461EA3">
        <w:rPr>
          <w:rFonts w:ascii="Verdana" w:hAnsi="Verdana"/>
          <w:sz w:val="20"/>
          <w:szCs w:val="20"/>
        </w:rPr>
        <w:t xml:space="preserve">2.5.89 y 2.5.90 del presente capítulo </w:t>
      </w:r>
      <w:r w:rsidRPr="00E61C78">
        <w:rPr>
          <w:rFonts w:ascii="Verdana" w:hAnsi="Verdana"/>
          <w:sz w:val="20"/>
          <w:szCs w:val="20"/>
        </w:rPr>
        <w:t>se deben tomar como referencia los ingresos y gastos por comisiones anuales promedio de los últimos 3 años a la fecha de cálculo. Si la entidad no cuenta con información para los 3 años anteriores, los ingresos y gastos por comisiones se deben calcular como el resultado de multiplicar (i) el valor de los activos administrados, por el valor de (</w:t>
      </w:r>
      <w:proofErr w:type="spellStart"/>
      <w:r w:rsidRPr="00E61C78">
        <w:rPr>
          <w:rFonts w:ascii="Verdana" w:hAnsi="Verdana"/>
          <w:sz w:val="20"/>
          <w:szCs w:val="20"/>
        </w:rPr>
        <w:t>ii</w:t>
      </w:r>
      <w:proofErr w:type="spellEnd"/>
      <w:r w:rsidRPr="00E61C78">
        <w:rPr>
          <w:rFonts w:ascii="Verdana" w:hAnsi="Verdana"/>
          <w:sz w:val="20"/>
          <w:szCs w:val="20"/>
        </w:rPr>
        <w:t>) los cocientes de los ingresos y gastos por comisiones sobre el valor de los activos administrados</w:t>
      </w:r>
      <w:r w:rsidRPr="00507671">
        <w:rPr>
          <w:rFonts w:ascii="Verdana" w:hAnsi="Verdana"/>
          <w:sz w:val="20"/>
          <w:szCs w:val="20"/>
        </w:rPr>
        <w:t xml:space="preserve"> de aquellas entidades que administraron estos activos en los últimos 3 años, en la respectiva jurisdicción.</w:t>
      </w:r>
    </w:p>
    <w:p w14:paraId="1BDB0A67" w14:textId="77777777" w:rsidR="009D1CDF" w:rsidRPr="00507671" w:rsidRDefault="009D1CDF" w:rsidP="009D1CDF">
      <w:pPr>
        <w:spacing w:after="0"/>
        <w:jc w:val="both"/>
        <w:rPr>
          <w:rFonts w:ascii="Verdana" w:hAnsi="Verdana"/>
          <w:sz w:val="20"/>
          <w:szCs w:val="20"/>
        </w:rPr>
      </w:pPr>
    </w:p>
    <w:p w14:paraId="226EA956" w14:textId="10FF8201" w:rsidR="00041F75" w:rsidRDefault="00041F75" w:rsidP="00041F75">
      <w:pPr>
        <w:spacing w:after="0"/>
        <w:jc w:val="both"/>
        <w:rPr>
          <w:rFonts w:ascii="Verdana" w:hAnsi="Verdana"/>
          <w:sz w:val="20"/>
          <w:szCs w:val="20"/>
        </w:rPr>
      </w:pPr>
      <w:r w:rsidRPr="17FBBDE5">
        <w:rPr>
          <w:rFonts w:ascii="Verdana" w:hAnsi="Verdana"/>
          <w:sz w:val="20"/>
          <w:szCs w:val="20"/>
        </w:rPr>
        <w:t>2.5.</w:t>
      </w:r>
      <w:r w:rsidR="7CEDEA0A" w:rsidRPr="17FBBDE5">
        <w:rPr>
          <w:rFonts w:ascii="Verdana" w:hAnsi="Verdana"/>
          <w:sz w:val="20"/>
          <w:szCs w:val="20"/>
        </w:rPr>
        <w:t>93</w:t>
      </w:r>
      <w:r w:rsidRPr="17FBBDE5">
        <w:rPr>
          <w:rFonts w:ascii="Verdana" w:hAnsi="Verdana"/>
          <w:sz w:val="20"/>
          <w:szCs w:val="20"/>
        </w:rPr>
        <w:t>.</w:t>
      </w:r>
    </w:p>
    <w:p w14:paraId="3D2AD6A7" w14:textId="778AC6A3" w:rsidR="009D1CDF" w:rsidRPr="00041F75" w:rsidRDefault="009D1CDF" w:rsidP="00041F75">
      <w:pPr>
        <w:spacing w:after="0"/>
        <w:jc w:val="both"/>
        <w:rPr>
          <w:rFonts w:ascii="Verdana" w:hAnsi="Verdana"/>
          <w:sz w:val="20"/>
          <w:szCs w:val="20"/>
        </w:rPr>
      </w:pPr>
      <w:r w:rsidRPr="00041F75">
        <w:rPr>
          <w:rFonts w:ascii="Verdana" w:hAnsi="Verdana"/>
          <w:sz w:val="20"/>
          <w:szCs w:val="20"/>
        </w:rPr>
        <w:t xml:space="preserve">Establecer el porcentaje entre 12% y 16% que resulte de realizar la autoevaluación sobre la gestión del riesgo operacional, definido por esta Superintendencia en la “Autoevaluación para Determinar el Factor de Ponderación para el Cálculo del Valor de la Exposición por Riesgo Operacional”, que se encuentra disponible en el </w:t>
      </w:r>
      <w:r w:rsidR="00DE4440" w:rsidRPr="004A22D5">
        <w:rPr>
          <w:rFonts w:ascii="Verdana" w:hAnsi="Verdana"/>
          <w:sz w:val="20"/>
          <w:szCs w:val="20"/>
        </w:rPr>
        <w:t>a</w:t>
      </w:r>
      <w:r w:rsidRPr="004A22D5">
        <w:rPr>
          <w:rFonts w:ascii="Verdana" w:hAnsi="Verdana"/>
          <w:sz w:val="20"/>
          <w:szCs w:val="20"/>
        </w:rPr>
        <w:t xml:space="preserve">nexo 14 del </w:t>
      </w:r>
      <w:r w:rsidR="00FC06D7" w:rsidRPr="004A22D5">
        <w:rPr>
          <w:rFonts w:ascii="Verdana" w:hAnsi="Verdana"/>
          <w:sz w:val="20"/>
          <w:szCs w:val="20"/>
        </w:rPr>
        <w:t>capítulo 1 de la parte 1 de la CBRAPIF</w:t>
      </w:r>
      <w:r w:rsidRPr="004A22D5">
        <w:rPr>
          <w:rFonts w:ascii="Verdana" w:hAnsi="Verdana"/>
          <w:sz w:val="20"/>
          <w:szCs w:val="20"/>
        </w:rPr>
        <w:t>.</w:t>
      </w:r>
    </w:p>
    <w:p w14:paraId="29505A07" w14:textId="77777777" w:rsidR="00362B1B" w:rsidRPr="00507671" w:rsidRDefault="00362B1B" w:rsidP="009D1CDF">
      <w:pPr>
        <w:spacing w:after="0"/>
        <w:jc w:val="both"/>
        <w:rPr>
          <w:rFonts w:ascii="Verdana" w:hAnsi="Verdana"/>
          <w:sz w:val="20"/>
          <w:szCs w:val="20"/>
        </w:rPr>
      </w:pPr>
    </w:p>
    <w:p w14:paraId="066C76B4" w14:textId="7D3B9FA5" w:rsidR="00041F75" w:rsidRDefault="00041F75" w:rsidP="00041F75">
      <w:pPr>
        <w:spacing w:after="0"/>
        <w:jc w:val="both"/>
        <w:rPr>
          <w:rFonts w:ascii="Verdana" w:hAnsi="Verdana"/>
          <w:sz w:val="20"/>
          <w:szCs w:val="20"/>
        </w:rPr>
      </w:pPr>
      <w:r w:rsidRPr="17FBBDE5">
        <w:rPr>
          <w:rFonts w:ascii="Verdana" w:hAnsi="Verdana"/>
          <w:sz w:val="20"/>
          <w:szCs w:val="20"/>
        </w:rPr>
        <w:t>2.5.</w:t>
      </w:r>
      <w:r w:rsidR="3A72BCC0" w:rsidRPr="17FBBDE5">
        <w:rPr>
          <w:rFonts w:ascii="Verdana" w:hAnsi="Verdana"/>
          <w:sz w:val="20"/>
          <w:szCs w:val="20"/>
        </w:rPr>
        <w:t>94</w:t>
      </w:r>
      <w:r w:rsidRPr="17FBBDE5">
        <w:rPr>
          <w:rFonts w:ascii="Verdana" w:hAnsi="Verdana"/>
          <w:sz w:val="20"/>
          <w:szCs w:val="20"/>
        </w:rPr>
        <w:t>.</w:t>
      </w:r>
    </w:p>
    <w:p w14:paraId="66D13DC2" w14:textId="311C06EE" w:rsidR="009D1CDF" w:rsidRPr="00041F75" w:rsidRDefault="009D1CDF" w:rsidP="00041F75">
      <w:pPr>
        <w:spacing w:after="0"/>
        <w:jc w:val="both"/>
        <w:rPr>
          <w:rFonts w:ascii="Verdana" w:hAnsi="Verdana"/>
          <w:sz w:val="20"/>
          <w:szCs w:val="20"/>
        </w:rPr>
      </w:pPr>
      <w:r w:rsidRPr="00041F75">
        <w:rPr>
          <w:rFonts w:ascii="Verdana" w:hAnsi="Verdana"/>
          <w:sz w:val="20"/>
          <w:szCs w:val="20"/>
        </w:rPr>
        <w:t xml:space="preserve">Aplicar el porcentaje obtenido </w:t>
      </w:r>
      <w:r w:rsidR="0067150F">
        <w:rPr>
          <w:rFonts w:ascii="Verdana" w:hAnsi="Verdana"/>
          <w:sz w:val="20"/>
          <w:szCs w:val="20"/>
        </w:rPr>
        <w:t xml:space="preserve">conforme las instrucciones del párrafo 2.5.93 </w:t>
      </w:r>
      <w:r w:rsidRPr="00A54EE9">
        <w:rPr>
          <w:rFonts w:ascii="Verdana" w:hAnsi="Verdana"/>
          <w:sz w:val="20"/>
          <w:szCs w:val="20"/>
        </w:rPr>
        <w:t xml:space="preserve">al resultado de computar los </w:t>
      </w:r>
      <w:r w:rsidR="00F326E5" w:rsidRPr="00A54EE9">
        <w:rPr>
          <w:rFonts w:ascii="Verdana" w:hAnsi="Verdana"/>
          <w:sz w:val="20"/>
          <w:szCs w:val="20"/>
        </w:rPr>
        <w:t xml:space="preserve">requisitos de los párrafos </w:t>
      </w:r>
      <w:r w:rsidR="009D2479">
        <w:rPr>
          <w:rFonts w:ascii="Verdana" w:hAnsi="Verdana"/>
          <w:sz w:val="20"/>
          <w:szCs w:val="20"/>
        </w:rPr>
        <w:t>2.5.89 y 2.5.90 del presente capítulo</w:t>
      </w:r>
      <w:r w:rsidRPr="00041F75">
        <w:rPr>
          <w:rFonts w:ascii="Verdana" w:hAnsi="Verdana"/>
          <w:sz w:val="20"/>
          <w:szCs w:val="20"/>
        </w:rPr>
        <w:t xml:space="preserve">. El valor obtenido corresponde al cargo por exposición al riesgo operacional </w:t>
      </w:r>
      <w:proofErr w:type="gramStart"/>
      <w:r w:rsidRPr="00041F75">
        <w:rPr>
          <w:rFonts w:ascii="Verdana" w:hAnsi="Verdana"/>
          <w:sz w:val="20"/>
          <w:szCs w:val="20"/>
        </w:rPr>
        <w:t>a</w:t>
      </w:r>
      <w:proofErr w:type="gramEnd"/>
      <w:r w:rsidRPr="00041F75">
        <w:rPr>
          <w:rFonts w:ascii="Verdana" w:hAnsi="Verdana"/>
          <w:sz w:val="20"/>
          <w:szCs w:val="20"/>
        </w:rPr>
        <w:t xml:space="preserve"> tener en cuenta para determinar la relación de solvencia de la entidad.</w:t>
      </w:r>
    </w:p>
    <w:p w14:paraId="6F7E931B" w14:textId="77777777" w:rsidR="009D1CDF" w:rsidRPr="00507671" w:rsidRDefault="009D1CDF" w:rsidP="009D1CDF">
      <w:pPr>
        <w:spacing w:after="0"/>
        <w:jc w:val="both"/>
        <w:rPr>
          <w:rFonts w:ascii="Verdana" w:hAnsi="Verdana"/>
          <w:sz w:val="20"/>
          <w:szCs w:val="20"/>
        </w:rPr>
      </w:pPr>
    </w:p>
    <w:p w14:paraId="65DE59D5" w14:textId="04CA9230" w:rsidR="009D1CDF" w:rsidRPr="00F10BAD" w:rsidRDefault="00F10BAD" w:rsidP="00F10BAD">
      <w:pPr>
        <w:spacing w:after="0"/>
        <w:jc w:val="both"/>
        <w:rPr>
          <w:rFonts w:ascii="Verdana" w:hAnsi="Verdana"/>
          <w:b/>
          <w:sz w:val="20"/>
          <w:szCs w:val="20"/>
        </w:rPr>
      </w:pPr>
      <w:r w:rsidRPr="00F10BAD">
        <w:rPr>
          <w:rFonts w:ascii="Verdana" w:hAnsi="Verdana"/>
          <w:b/>
          <w:sz w:val="20"/>
          <w:szCs w:val="20"/>
        </w:rPr>
        <w:t>CONTROL Y VIGILANCIA</w:t>
      </w:r>
    </w:p>
    <w:p w14:paraId="1E29374B" w14:textId="77777777" w:rsidR="009D1CDF" w:rsidRPr="00507671" w:rsidRDefault="009D1CDF" w:rsidP="009D1CDF">
      <w:pPr>
        <w:spacing w:after="0"/>
        <w:jc w:val="both"/>
        <w:rPr>
          <w:rFonts w:ascii="Verdana" w:hAnsi="Verdana"/>
          <w:b/>
          <w:sz w:val="20"/>
          <w:szCs w:val="20"/>
        </w:rPr>
      </w:pPr>
    </w:p>
    <w:p w14:paraId="4DF68723" w14:textId="688E9089" w:rsidR="00E61C78" w:rsidRDefault="00E61C78" w:rsidP="00E61C78">
      <w:pPr>
        <w:spacing w:after="0"/>
        <w:jc w:val="both"/>
        <w:rPr>
          <w:rFonts w:ascii="Verdana" w:hAnsi="Verdana"/>
          <w:sz w:val="20"/>
          <w:szCs w:val="20"/>
        </w:rPr>
      </w:pPr>
      <w:r w:rsidRPr="17FBBDE5">
        <w:rPr>
          <w:rFonts w:ascii="Verdana" w:hAnsi="Verdana"/>
          <w:sz w:val="20"/>
          <w:szCs w:val="20"/>
        </w:rPr>
        <w:t>2.5.</w:t>
      </w:r>
      <w:r w:rsidR="1FC39D57" w:rsidRPr="17FBBDE5">
        <w:rPr>
          <w:rFonts w:ascii="Verdana" w:hAnsi="Verdana"/>
          <w:sz w:val="20"/>
          <w:szCs w:val="20"/>
        </w:rPr>
        <w:t>95</w:t>
      </w:r>
      <w:r w:rsidRPr="17FBBDE5">
        <w:rPr>
          <w:rFonts w:ascii="Verdana" w:hAnsi="Verdana"/>
          <w:sz w:val="20"/>
          <w:szCs w:val="20"/>
        </w:rPr>
        <w:t>.</w:t>
      </w:r>
    </w:p>
    <w:p w14:paraId="2E3AF5D7"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El holding financiero, en desarrollo del artículo 3 de la Ley 1870 de 2017, debe contar con políticas y procesos para efectuar el cálculo nivel adecuado de capital del conglomerado financiero. Para el efecto, se puede tener en consideración la estructura de cada conglomerado financiero donde puede existir control o influencia significativa.</w:t>
      </w:r>
    </w:p>
    <w:p w14:paraId="26F5F86C" w14:textId="77777777" w:rsidR="009D1CDF" w:rsidRPr="00507671" w:rsidRDefault="009D1CDF" w:rsidP="009D1CDF">
      <w:pPr>
        <w:spacing w:after="0"/>
        <w:jc w:val="both"/>
        <w:rPr>
          <w:rFonts w:ascii="Verdana" w:hAnsi="Verdana"/>
          <w:sz w:val="20"/>
          <w:szCs w:val="20"/>
        </w:rPr>
      </w:pPr>
    </w:p>
    <w:p w14:paraId="61F07722" w14:textId="32FDC6CE" w:rsidR="00E61C78" w:rsidRDefault="00E61C78" w:rsidP="00E61C78">
      <w:pPr>
        <w:spacing w:after="0"/>
        <w:jc w:val="both"/>
        <w:rPr>
          <w:rFonts w:ascii="Verdana" w:hAnsi="Verdana"/>
          <w:sz w:val="20"/>
          <w:szCs w:val="20"/>
        </w:rPr>
      </w:pPr>
      <w:r w:rsidRPr="17FBBDE5">
        <w:rPr>
          <w:rFonts w:ascii="Verdana" w:hAnsi="Verdana"/>
          <w:sz w:val="20"/>
          <w:szCs w:val="20"/>
        </w:rPr>
        <w:t>2.5.</w:t>
      </w:r>
      <w:r w:rsidR="5735B011" w:rsidRPr="17FBBDE5">
        <w:rPr>
          <w:rFonts w:ascii="Verdana" w:hAnsi="Verdana"/>
          <w:sz w:val="20"/>
          <w:szCs w:val="20"/>
        </w:rPr>
        <w:t>96</w:t>
      </w:r>
      <w:r w:rsidRPr="17FBBDE5">
        <w:rPr>
          <w:rFonts w:ascii="Verdana" w:hAnsi="Verdana"/>
          <w:sz w:val="20"/>
          <w:szCs w:val="20"/>
        </w:rPr>
        <w:t>.</w:t>
      </w:r>
    </w:p>
    <w:p w14:paraId="45480D5E" w14:textId="26A46BCE" w:rsidR="009D1CDF" w:rsidRPr="00507671" w:rsidRDefault="009D1CDF" w:rsidP="009D1CDF">
      <w:pPr>
        <w:spacing w:after="0"/>
        <w:jc w:val="both"/>
        <w:rPr>
          <w:rFonts w:ascii="Verdana" w:hAnsi="Verdana"/>
          <w:sz w:val="20"/>
          <w:szCs w:val="20"/>
        </w:rPr>
      </w:pPr>
      <w:r w:rsidRPr="00507671">
        <w:rPr>
          <w:rFonts w:ascii="Verdana" w:hAnsi="Verdana"/>
          <w:sz w:val="20"/>
          <w:szCs w:val="20"/>
        </w:rPr>
        <w:t xml:space="preserve">Las entidades que conforman el conglomerado financiero deben, bajo su responsabilidad, preparar y poner a disposición del holding financiero </w:t>
      </w:r>
      <w:r w:rsidR="00C07A1A" w:rsidRPr="00507671">
        <w:rPr>
          <w:rFonts w:ascii="Verdana" w:hAnsi="Verdana"/>
          <w:sz w:val="20"/>
          <w:szCs w:val="20"/>
        </w:rPr>
        <w:t>la información</w:t>
      </w:r>
      <w:r w:rsidRPr="00507671">
        <w:rPr>
          <w:rFonts w:ascii="Verdana" w:hAnsi="Verdana"/>
          <w:sz w:val="20"/>
          <w:szCs w:val="20"/>
        </w:rPr>
        <w:t xml:space="preserve"> necesaria para efectuar el cálculo y verificar el cumplimiento del nivel adecuado de capital del conglomerado financiero, en los términos del artículo 2.39.2.1.2. del Decreto 2555 de 2010. </w:t>
      </w:r>
    </w:p>
    <w:p w14:paraId="7835A995" w14:textId="77777777" w:rsidR="009D1CDF" w:rsidRPr="00507671" w:rsidRDefault="009D1CDF" w:rsidP="009D1CDF">
      <w:pPr>
        <w:spacing w:after="0"/>
        <w:jc w:val="both"/>
        <w:rPr>
          <w:rFonts w:ascii="Verdana" w:hAnsi="Verdana"/>
          <w:sz w:val="20"/>
          <w:szCs w:val="20"/>
        </w:rPr>
      </w:pPr>
    </w:p>
    <w:p w14:paraId="3FD7347B" w14:textId="2604E5BB" w:rsidR="00E61C78" w:rsidRDefault="00E61C78" w:rsidP="00E61C78">
      <w:pPr>
        <w:spacing w:after="0"/>
        <w:jc w:val="both"/>
        <w:rPr>
          <w:rFonts w:ascii="Verdana" w:hAnsi="Verdana"/>
          <w:sz w:val="20"/>
          <w:szCs w:val="20"/>
        </w:rPr>
      </w:pPr>
      <w:r w:rsidRPr="17FBBDE5">
        <w:rPr>
          <w:rFonts w:ascii="Verdana" w:hAnsi="Verdana"/>
          <w:sz w:val="20"/>
          <w:szCs w:val="20"/>
        </w:rPr>
        <w:t>2.5.</w:t>
      </w:r>
      <w:r w:rsidR="437250D4" w:rsidRPr="17FBBDE5">
        <w:rPr>
          <w:rFonts w:ascii="Verdana" w:hAnsi="Verdana"/>
          <w:sz w:val="20"/>
          <w:szCs w:val="20"/>
        </w:rPr>
        <w:t>97</w:t>
      </w:r>
      <w:r w:rsidRPr="17FBBDE5">
        <w:rPr>
          <w:rFonts w:ascii="Verdana" w:hAnsi="Verdana"/>
          <w:sz w:val="20"/>
          <w:szCs w:val="20"/>
        </w:rPr>
        <w:t>.</w:t>
      </w:r>
    </w:p>
    <w:p w14:paraId="3DB7C28C"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 xml:space="preserve">La SFC realizará el control y vigilancia trimestral del cumplimiento del nivel adecuado de capital del conglomerado financiero, con fecha de corte al 31 de marzo, 30 de junio, 30 de septiembre y 31 de diciembre de cada año. Para el efecto, la SFC capturará el día 60 calendario siguiente a la fecha de corte, la información que el holding financiero debe poner a disposición de la SFC en un </w:t>
      </w:r>
      <w:r w:rsidRPr="00507671">
        <w:rPr>
          <w:rFonts w:ascii="Verdana" w:hAnsi="Verdana"/>
          <w:i/>
          <w:sz w:val="20"/>
          <w:szCs w:val="20"/>
        </w:rPr>
        <w:t>Web Service,</w:t>
      </w:r>
      <w:r w:rsidRPr="00507671">
        <w:rPr>
          <w:rFonts w:ascii="Verdana" w:hAnsi="Verdana"/>
          <w:sz w:val="20"/>
          <w:szCs w:val="20"/>
        </w:rPr>
        <w:t xml:space="preserve"> creado para el efecto, el cual debe contener:</w:t>
      </w:r>
    </w:p>
    <w:p w14:paraId="4DAF53CB" w14:textId="77777777" w:rsidR="009D1CDF" w:rsidRPr="00507671" w:rsidRDefault="009D1CDF" w:rsidP="009D1CDF">
      <w:pPr>
        <w:spacing w:after="0"/>
        <w:jc w:val="both"/>
        <w:rPr>
          <w:rFonts w:ascii="Verdana" w:hAnsi="Verdana"/>
          <w:sz w:val="20"/>
          <w:szCs w:val="20"/>
        </w:rPr>
      </w:pPr>
    </w:p>
    <w:p w14:paraId="0E428625" w14:textId="77777777" w:rsidR="00D1491A" w:rsidRDefault="009D1CDF" w:rsidP="00D1491A">
      <w:pPr>
        <w:pStyle w:val="Prrafodelista"/>
        <w:numPr>
          <w:ilvl w:val="0"/>
          <w:numId w:val="31"/>
        </w:numPr>
        <w:spacing w:after="0"/>
        <w:ind w:left="567" w:hanging="567"/>
        <w:jc w:val="both"/>
        <w:rPr>
          <w:rFonts w:ascii="Verdana" w:hAnsi="Verdana"/>
          <w:sz w:val="20"/>
          <w:szCs w:val="20"/>
        </w:rPr>
      </w:pPr>
      <w:r w:rsidRPr="00D1491A">
        <w:rPr>
          <w:rFonts w:ascii="Verdana" w:hAnsi="Verdana"/>
          <w:sz w:val="20"/>
          <w:szCs w:val="20"/>
        </w:rPr>
        <w:t>El detalle de la información requerida para el cálculo del capital del conglomerado financiero.</w:t>
      </w:r>
    </w:p>
    <w:p w14:paraId="6F8F80A5" w14:textId="77777777" w:rsidR="00D1491A" w:rsidRDefault="00D1491A" w:rsidP="00D1491A">
      <w:pPr>
        <w:pStyle w:val="Prrafodelista"/>
        <w:spacing w:after="0"/>
        <w:ind w:left="567"/>
        <w:jc w:val="both"/>
        <w:rPr>
          <w:rFonts w:ascii="Verdana" w:hAnsi="Verdana"/>
          <w:sz w:val="20"/>
          <w:szCs w:val="20"/>
        </w:rPr>
      </w:pPr>
    </w:p>
    <w:p w14:paraId="42D49EFB" w14:textId="2920EF77" w:rsidR="009D1CDF" w:rsidRPr="00D1491A" w:rsidRDefault="009D1CDF" w:rsidP="00D1491A">
      <w:pPr>
        <w:pStyle w:val="Prrafodelista"/>
        <w:numPr>
          <w:ilvl w:val="0"/>
          <w:numId w:val="31"/>
        </w:numPr>
        <w:spacing w:after="0"/>
        <w:ind w:left="567" w:hanging="567"/>
        <w:jc w:val="both"/>
        <w:rPr>
          <w:rFonts w:ascii="Verdana" w:hAnsi="Verdana"/>
          <w:sz w:val="20"/>
          <w:szCs w:val="20"/>
        </w:rPr>
      </w:pPr>
      <w:r w:rsidRPr="00D1491A">
        <w:rPr>
          <w:rFonts w:ascii="Verdana" w:hAnsi="Verdana"/>
          <w:sz w:val="20"/>
          <w:szCs w:val="20"/>
        </w:rPr>
        <w:t>El documento que explique el cálculo de capital del conglomerado financiero.</w:t>
      </w:r>
    </w:p>
    <w:p w14:paraId="71E3EAE2" w14:textId="77777777" w:rsidR="009D1CDF" w:rsidRPr="00507671" w:rsidRDefault="009D1CDF" w:rsidP="009D1CDF">
      <w:pPr>
        <w:spacing w:after="0"/>
        <w:jc w:val="both"/>
        <w:rPr>
          <w:rFonts w:ascii="Verdana" w:hAnsi="Verdana"/>
          <w:sz w:val="20"/>
          <w:szCs w:val="20"/>
        </w:rPr>
      </w:pPr>
    </w:p>
    <w:p w14:paraId="4FD7B9FD" w14:textId="6AE23866" w:rsidR="00E61C78" w:rsidRDefault="00E61C78" w:rsidP="00E61C78">
      <w:pPr>
        <w:spacing w:after="0"/>
        <w:jc w:val="both"/>
        <w:rPr>
          <w:rFonts w:ascii="Verdana" w:hAnsi="Verdana"/>
          <w:sz w:val="20"/>
          <w:szCs w:val="20"/>
        </w:rPr>
      </w:pPr>
      <w:r w:rsidRPr="17FBBDE5">
        <w:rPr>
          <w:rFonts w:ascii="Verdana" w:hAnsi="Verdana"/>
          <w:sz w:val="20"/>
          <w:szCs w:val="20"/>
        </w:rPr>
        <w:t>2.5.</w:t>
      </w:r>
      <w:r w:rsidR="6B0E3F66" w:rsidRPr="17FBBDE5">
        <w:rPr>
          <w:rFonts w:ascii="Verdana" w:hAnsi="Verdana"/>
          <w:sz w:val="20"/>
          <w:szCs w:val="20"/>
        </w:rPr>
        <w:t>98</w:t>
      </w:r>
      <w:r w:rsidRPr="17FBBDE5">
        <w:rPr>
          <w:rFonts w:ascii="Verdana" w:hAnsi="Verdana"/>
          <w:sz w:val="20"/>
          <w:szCs w:val="20"/>
        </w:rPr>
        <w:t>.</w:t>
      </w:r>
    </w:p>
    <w:p w14:paraId="4FB6C8ED"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 xml:space="preserve">En todo caso, el contenido del documento técnico del </w:t>
      </w:r>
      <w:r w:rsidRPr="00507671">
        <w:rPr>
          <w:rFonts w:ascii="Verdana" w:hAnsi="Verdana"/>
          <w:i/>
          <w:sz w:val="20"/>
          <w:szCs w:val="20"/>
        </w:rPr>
        <w:t>Web Service</w:t>
      </w:r>
      <w:r w:rsidRPr="00507671">
        <w:rPr>
          <w:rFonts w:ascii="Verdana" w:hAnsi="Verdana"/>
          <w:sz w:val="20"/>
          <w:szCs w:val="20"/>
        </w:rPr>
        <w:t xml:space="preserve"> que publique la SFC en su página Web corresponderá con las instrucciones a que se refiere el presente capítulo y en las disposiciones del Decreto 2555 de 2010.</w:t>
      </w:r>
    </w:p>
    <w:p w14:paraId="32470A6F" w14:textId="77777777" w:rsidR="009D1CDF" w:rsidRDefault="009D1CDF" w:rsidP="009D1CDF">
      <w:pPr>
        <w:spacing w:after="0"/>
        <w:jc w:val="both"/>
        <w:rPr>
          <w:rFonts w:ascii="Verdana" w:hAnsi="Verdana"/>
          <w:sz w:val="20"/>
          <w:szCs w:val="20"/>
        </w:rPr>
      </w:pPr>
    </w:p>
    <w:p w14:paraId="384FF15A" w14:textId="77777777" w:rsidR="00FC64A9" w:rsidRDefault="00FC64A9" w:rsidP="009D1CDF">
      <w:pPr>
        <w:spacing w:after="0"/>
        <w:jc w:val="both"/>
        <w:rPr>
          <w:rFonts w:ascii="Verdana" w:hAnsi="Verdana"/>
          <w:sz w:val="20"/>
          <w:szCs w:val="20"/>
        </w:rPr>
      </w:pPr>
    </w:p>
    <w:p w14:paraId="644231CE" w14:textId="77777777" w:rsidR="00FC64A9" w:rsidRDefault="00FC64A9" w:rsidP="009D1CDF">
      <w:pPr>
        <w:spacing w:after="0"/>
        <w:jc w:val="both"/>
        <w:rPr>
          <w:rFonts w:ascii="Verdana" w:hAnsi="Verdana"/>
          <w:sz w:val="20"/>
          <w:szCs w:val="20"/>
        </w:rPr>
      </w:pPr>
    </w:p>
    <w:p w14:paraId="2088E0F7" w14:textId="77777777" w:rsidR="00FC64A9" w:rsidRDefault="00FC64A9" w:rsidP="009D1CDF">
      <w:pPr>
        <w:spacing w:after="0"/>
        <w:jc w:val="both"/>
        <w:rPr>
          <w:rFonts w:ascii="Verdana" w:hAnsi="Verdana"/>
          <w:sz w:val="20"/>
          <w:szCs w:val="20"/>
        </w:rPr>
      </w:pPr>
    </w:p>
    <w:p w14:paraId="103A9F86" w14:textId="3137EB1A" w:rsidR="00E61C78" w:rsidRDefault="00E61C78" w:rsidP="00E61C78">
      <w:pPr>
        <w:spacing w:after="0"/>
        <w:jc w:val="both"/>
        <w:rPr>
          <w:rFonts w:ascii="Verdana" w:hAnsi="Verdana"/>
          <w:sz w:val="20"/>
          <w:szCs w:val="20"/>
        </w:rPr>
      </w:pPr>
      <w:r w:rsidRPr="17FBBDE5">
        <w:rPr>
          <w:rFonts w:ascii="Verdana" w:hAnsi="Verdana"/>
          <w:sz w:val="20"/>
          <w:szCs w:val="20"/>
        </w:rPr>
        <w:lastRenderedPageBreak/>
        <w:t>2.5.</w:t>
      </w:r>
      <w:r w:rsidR="2F439E82" w:rsidRPr="17FBBDE5">
        <w:rPr>
          <w:rFonts w:ascii="Verdana" w:hAnsi="Verdana"/>
          <w:sz w:val="20"/>
          <w:szCs w:val="20"/>
        </w:rPr>
        <w:t>99</w:t>
      </w:r>
      <w:r w:rsidRPr="17FBBDE5">
        <w:rPr>
          <w:rFonts w:ascii="Verdana" w:hAnsi="Verdana"/>
          <w:sz w:val="20"/>
          <w:szCs w:val="20"/>
        </w:rPr>
        <w:t>.</w:t>
      </w:r>
    </w:p>
    <w:p w14:paraId="6A681219"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La información que el holding financiero ponga a disposición de la SFC debe contener la firma digital de su representante legal y de su contador. La información que no cuente con estos requisitos se entenderá por no puesta a disposición de la SFC.</w:t>
      </w:r>
    </w:p>
    <w:p w14:paraId="358B37C1" w14:textId="77777777" w:rsidR="009D1CDF" w:rsidRPr="00507671" w:rsidRDefault="009D1CDF" w:rsidP="009D1CDF">
      <w:pPr>
        <w:spacing w:after="0"/>
        <w:jc w:val="both"/>
        <w:rPr>
          <w:rFonts w:ascii="Verdana" w:hAnsi="Verdana"/>
          <w:sz w:val="20"/>
          <w:szCs w:val="20"/>
        </w:rPr>
      </w:pPr>
    </w:p>
    <w:p w14:paraId="2D61D9C1" w14:textId="67713AB5" w:rsidR="00E61C78" w:rsidRDefault="00E61C78" w:rsidP="00E61C78">
      <w:pPr>
        <w:spacing w:after="0"/>
        <w:jc w:val="both"/>
        <w:rPr>
          <w:rFonts w:ascii="Verdana" w:hAnsi="Verdana"/>
          <w:sz w:val="20"/>
          <w:szCs w:val="20"/>
        </w:rPr>
      </w:pPr>
      <w:r w:rsidRPr="17FBBDE5">
        <w:rPr>
          <w:rFonts w:ascii="Verdana" w:hAnsi="Verdana"/>
          <w:sz w:val="20"/>
          <w:szCs w:val="20"/>
        </w:rPr>
        <w:t>2.5.</w:t>
      </w:r>
      <w:r w:rsidR="18BED085" w:rsidRPr="17FBBDE5">
        <w:rPr>
          <w:rFonts w:ascii="Verdana" w:hAnsi="Verdana"/>
          <w:sz w:val="20"/>
          <w:szCs w:val="20"/>
        </w:rPr>
        <w:t>100</w:t>
      </w:r>
      <w:r w:rsidRPr="17FBBDE5">
        <w:rPr>
          <w:rFonts w:ascii="Verdana" w:hAnsi="Verdana"/>
          <w:sz w:val="20"/>
          <w:szCs w:val="20"/>
        </w:rPr>
        <w:t>.</w:t>
      </w:r>
    </w:p>
    <w:p w14:paraId="38E6A574"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En caso de que el holding financiero falte a su deber de poner a disposición de la SFC la información relacionada con el cálculo del nivel adecuado capital del conglomerado financiero, en el plazo establecido o lo haga sin el cumplimiento de los requisitos previstos anteriormente, dará lugar a la imposición de las sanciones previstas en el inciso segundo del artículo 4º de la Ley 1870 de 2017. Así mismo, el incumplimiento del nivel adecuado de capital del conglomerado financiero dará lugar a la imposición de las sanciones previstas en el artículo 2.39.2.1.6 del Decreto 2555 de 2010.</w:t>
      </w:r>
    </w:p>
    <w:p w14:paraId="036631C7" w14:textId="77777777" w:rsidR="009D1CDF" w:rsidRPr="00507671" w:rsidRDefault="009D1CDF" w:rsidP="009D1CDF">
      <w:pPr>
        <w:spacing w:after="0"/>
        <w:jc w:val="both"/>
        <w:rPr>
          <w:rFonts w:ascii="Verdana" w:hAnsi="Verdana"/>
          <w:b/>
          <w:sz w:val="20"/>
          <w:szCs w:val="20"/>
        </w:rPr>
      </w:pPr>
    </w:p>
    <w:p w14:paraId="60315D65" w14:textId="6B46C3ED" w:rsidR="00E61C78" w:rsidRDefault="00E61C78" w:rsidP="00E61C78">
      <w:pPr>
        <w:spacing w:after="0"/>
        <w:jc w:val="both"/>
        <w:rPr>
          <w:rFonts w:ascii="Verdana" w:hAnsi="Verdana"/>
          <w:sz w:val="20"/>
          <w:szCs w:val="20"/>
        </w:rPr>
      </w:pPr>
      <w:r w:rsidRPr="17FBBDE5">
        <w:rPr>
          <w:rFonts w:ascii="Verdana" w:hAnsi="Verdana"/>
          <w:sz w:val="20"/>
          <w:szCs w:val="20"/>
        </w:rPr>
        <w:t>2.5.</w:t>
      </w:r>
      <w:r w:rsidR="779BBAB7" w:rsidRPr="17FBBDE5">
        <w:rPr>
          <w:rFonts w:ascii="Verdana" w:hAnsi="Verdana"/>
          <w:sz w:val="20"/>
          <w:szCs w:val="20"/>
        </w:rPr>
        <w:t>101</w:t>
      </w:r>
      <w:r w:rsidRPr="17FBBDE5">
        <w:rPr>
          <w:rFonts w:ascii="Verdana" w:hAnsi="Verdana"/>
          <w:sz w:val="20"/>
          <w:szCs w:val="20"/>
        </w:rPr>
        <w:t>.</w:t>
      </w:r>
    </w:p>
    <w:p w14:paraId="02906295"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El tercer día hábil siguiente a la captura de la información de los holdings financieros a que se refiere el presente numeral, la SFC publicará en su página Web la información relacionada con el cumplimiento del nivel adecuado de capital de los conglomerados financieros.</w:t>
      </w:r>
    </w:p>
    <w:p w14:paraId="6445417B" w14:textId="77777777" w:rsidR="009D1CDF" w:rsidRPr="00507671" w:rsidRDefault="009D1CDF" w:rsidP="009D1CDF">
      <w:pPr>
        <w:spacing w:after="0"/>
        <w:jc w:val="both"/>
        <w:rPr>
          <w:rFonts w:ascii="Verdana" w:hAnsi="Verdana"/>
          <w:b/>
          <w:sz w:val="20"/>
          <w:szCs w:val="20"/>
        </w:rPr>
      </w:pPr>
    </w:p>
    <w:p w14:paraId="4FEDF34F" w14:textId="2CCA561F" w:rsidR="009D1CDF" w:rsidRPr="00D1491A" w:rsidRDefault="00D1491A" w:rsidP="00D1491A">
      <w:pPr>
        <w:spacing w:after="0"/>
        <w:jc w:val="both"/>
        <w:rPr>
          <w:rFonts w:ascii="Verdana" w:hAnsi="Verdana"/>
          <w:b/>
          <w:sz w:val="20"/>
          <w:szCs w:val="20"/>
        </w:rPr>
      </w:pPr>
      <w:r w:rsidRPr="00D1491A">
        <w:rPr>
          <w:rFonts w:ascii="Verdana" w:hAnsi="Verdana"/>
          <w:b/>
          <w:sz w:val="20"/>
          <w:szCs w:val="20"/>
        </w:rPr>
        <w:t>PROGRAMA DE RESTABLECIMIENTO</w:t>
      </w:r>
    </w:p>
    <w:p w14:paraId="769BFF8D" w14:textId="77777777" w:rsidR="009D1CDF" w:rsidRPr="00507671" w:rsidRDefault="009D1CDF" w:rsidP="009D1CDF">
      <w:pPr>
        <w:spacing w:after="0"/>
        <w:jc w:val="both"/>
        <w:rPr>
          <w:rFonts w:ascii="Verdana" w:hAnsi="Verdana"/>
          <w:b/>
          <w:sz w:val="20"/>
          <w:szCs w:val="20"/>
        </w:rPr>
      </w:pPr>
    </w:p>
    <w:p w14:paraId="4B726C66" w14:textId="3F72C93A" w:rsidR="00E61C78" w:rsidRDefault="00E61C78" w:rsidP="00E61C78">
      <w:pPr>
        <w:spacing w:after="0"/>
        <w:jc w:val="both"/>
        <w:rPr>
          <w:rFonts w:ascii="Verdana" w:hAnsi="Verdana"/>
          <w:sz w:val="20"/>
          <w:szCs w:val="20"/>
        </w:rPr>
      </w:pPr>
      <w:r w:rsidRPr="17FBBDE5">
        <w:rPr>
          <w:rFonts w:ascii="Verdana" w:hAnsi="Verdana"/>
          <w:sz w:val="20"/>
          <w:szCs w:val="20"/>
        </w:rPr>
        <w:t>2.5.</w:t>
      </w:r>
      <w:r w:rsidR="39D84BFC" w:rsidRPr="17FBBDE5">
        <w:rPr>
          <w:rFonts w:ascii="Verdana" w:hAnsi="Verdana"/>
          <w:sz w:val="20"/>
          <w:szCs w:val="20"/>
        </w:rPr>
        <w:t>102.</w:t>
      </w:r>
    </w:p>
    <w:p w14:paraId="59A7CCF7"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En el caso, que el patrimonio técnico del conglomerado financiero sea inferior a su patrimonio adecuado o el holding financiero prevea que el conglomerado vaya a presentar defectos en el nivel adecuado de capital, dicho holding financiero deberá determinar la forma en que tales defectos serán corregidos, a través de la presentación de un programa de restablecimiento que deberá enviar para la aprobación previa de la SFC.</w:t>
      </w:r>
    </w:p>
    <w:p w14:paraId="156F0C9B" w14:textId="77777777" w:rsidR="009D1CDF" w:rsidRPr="00507671" w:rsidRDefault="009D1CDF" w:rsidP="009D1CDF">
      <w:pPr>
        <w:spacing w:after="0"/>
        <w:jc w:val="both"/>
        <w:rPr>
          <w:rFonts w:ascii="Verdana" w:hAnsi="Verdana"/>
          <w:b/>
          <w:sz w:val="20"/>
          <w:szCs w:val="20"/>
        </w:rPr>
      </w:pPr>
    </w:p>
    <w:p w14:paraId="7373BAF8" w14:textId="551AF305" w:rsidR="00E61C78" w:rsidRDefault="00E61C78" w:rsidP="00E61C78">
      <w:pPr>
        <w:spacing w:after="0"/>
        <w:jc w:val="both"/>
        <w:rPr>
          <w:rFonts w:ascii="Verdana" w:hAnsi="Verdana"/>
          <w:sz w:val="20"/>
          <w:szCs w:val="20"/>
        </w:rPr>
      </w:pPr>
      <w:r w:rsidRPr="17FBBDE5">
        <w:rPr>
          <w:rFonts w:ascii="Verdana" w:hAnsi="Verdana"/>
          <w:sz w:val="20"/>
          <w:szCs w:val="20"/>
        </w:rPr>
        <w:t>2.5.</w:t>
      </w:r>
      <w:r w:rsidR="07068BF3" w:rsidRPr="17FBBDE5">
        <w:rPr>
          <w:rFonts w:ascii="Verdana" w:hAnsi="Verdana"/>
          <w:sz w:val="20"/>
          <w:szCs w:val="20"/>
        </w:rPr>
        <w:t>103</w:t>
      </w:r>
      <w:r w:rsidRPr="17FBBDE5">
        <w:rPr>
          <w:rFonts w:ascii="Verdana" w:hAnsi="Verdana"/>
          <w:sz w:val="20"/>
          <w:szCs w:val="20"/>
        </w:rPr>
        <w:t>.</w:t>
      </w:r>
    </w:p>
    <w:p w14:paraId="604346DC"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El documento mediante el cual se presente el programa de restablecimiento deberá contener como mínimo la siguiente información:</w:t>
      </w:r>
    </w:p>
    <w:p w14:paraId="10025ABD" w14:textId="77777777" w:rsidR="009D1CDF" w:rsidRPr="00507671" w:rsidRDefault="009D1CDF" w:rsidP="009D1CDF">
      <w:pPr>
        <w:spacing w:after="0"/>
        <w:jc w:val="both"/>
        <w:rPr>
          <w:rFonts w:ascii="Verdana" w:hAnsi="Verdana"/>
          <w:sz w:val="20"/>
          <w:szCs w:val="20"/>
        </w:rPr>
      </w:pPr>
    </w:p>
    <w:p w14:paraId="1A8CFF84" w14:textId="77777777" w:rsidR="002672AB" w:rsidRDefault="009D1CDF" w:rsidP="00D1491A">
      <w:pPr>
        <w:pStyle w:val="Prrafodelista"/>
        <w:numPr>
          <w:ilvl w:val="0"/>
          <w:numId w:val="32"/>
        </w:numPr>
        <w:spacing w:after="0"/>
        <w:ind w:left="567" w:hanging="567"/>
        <w:jc w:val="both"/>
        <w:rPr>
          <w:rFonts w:ascii="Verdana" w:hAnsi="Verdana"/>
          <w:sz w:val="20"/>
          <w:szCs w:val="20"/>
        </w:rPr>
      </w:pPr>
      <w:r w:rsidRPr="00D1491A">
        <w:rPr>
          <w:rFonts w:ascii="Verdana" w:hAnsi="Verdana"/>
          <w:sz w:val="20"/>
          <w:szCs w:val="20"/>
        </w:rPr>
        <w:t>Las explicaciones sobre los motivos que originaron u originarán el defecto respectivo, acompañado de un análisis cuantitativo y cualitativo en el que se evalúe el comportamiento de los principales conceptos de los estados financieros e indicadores relacionados con dicha circunstancia.</w:t>
      </w:r>
    </w:p>
    <w:p w14:paraId="7A6550A8" w14:textId="77777777" w:rsidR="002672AB" w:rsidRDefault="002672AB" w:rsidP="002672AB">
      <w:pPr>
        <w:pStyle w:val="Prrafodelista"/>
        <w:spacing w:after="0"/>
        <w:ind w:left="567"/>
        <w:jc w:val="both"/>
        <w:rPr>
          <w:rFonts w:ascii="Verdana" w:hAnsi="Verdana"/>
          <w:sz w:val="20"/>
          <w:szCs w:val="20"/>
        </w:rPr>
      </w:pPr>
    </w:p>
    <w:p w14:paraId="6557B54F" w14:textId="77777777" w:rsidR="002672AB" w:rsidRDefault="009D1CDF" w:rsidP="002672AB">
      <w:pPr>
        <w:pStyle w:val="Prrafodelista"/>
        <w:numPr>
          <w:ilvl w:val="0"/>
          <w:numId w:val="32"/>
        </w:numPr>
        <w:spacing w:after="0"/>
        <w:ind w:left="567" w:hanging="567"/>
        <w:jc w:val="both"/>
        <w:rPr>
          <w:rFonts w:ascii="Verdana" w:hAnsi="Verdana"/>
          <w:sz w:val="20"/>
          <w:szCs w:val="20"/>
        </w:rPr>
      </w:pPr>
      <w:r w:rsidRPr="002672AB">
        <w:rPr>
          <w:rFonts w:ascii="Verdana" w:hAnsi="Verdana"/>
          <w:sz w:val="20"/>
          <w:szCs w:val="20"/>
        </w:rPr>
        <w:t>Un programa de restablecimiento que, partiendo del anterior diagnóstico, permita establecer objetivos, metas de cumplimiento por lo menos trimestral y estrategias de corto plazo para las entidades del conglomerado financiero, con el fin de corregir o resolver el posible defecto. El programa deberá determinar de manera cuantificable y verificable las proyecciones financieras, las cuales deben incluir como mínimo el comportamiento de los principales componentes de los estados financieros, la distribución del total de activos o determinadas categorías de activos, la obligaciones de enajenación de inversiones, incrementos del patrimonio técnico, la limitación de distribución de utilidades o excedentes, parcial o totalmente, o cualquier otro mecanismo que permita evitar o corregir a la mayor brevedad posible, el defecto del nivel adecuado de capital del conglomerado financiero.</w:t>
      </w:r>
    </w:p>
    <w:p w14:paraId="70D37CC6" w14:textId="77777777" w:rsidR="002672AB" w:rsidRPr="002672AB" w:rsidRDefault="002672AB" w:rsidP="002672AB">
      <w:pPr>
        <w:pStyle w:val="Prrafodelista"/>
        <w:rPr>
          <w:rFonts w:ascii="Verdana" w:hAnsi="Verdana"/>
          <w:sz w:val="20"/>
          <w:szCs w:val="20"/>
        </w:rPr>
      </w:pPr>
    </w:p>
    <w:p w14:paraId="7F9C46D9" w14:textId="75D772B0" w:rsidR="009D1CDF" w:rsidRPr="002672AB" w:rsidRDefault="009D1CDF" w:rsidP="002672AB">
      <w:pPr>
        <w:pStyle w:val="Prrafodelista"/>
        <w:numPr>
          <w:ilvl w:val="0"/>
          <w:numId w:val="32"/>
        </w:numPr>
        <w:spacing w:after="0"/>
        <w:ind w:left="567" w:hanging="567"/>
        <w:jc w:val="both"/>
        <w:rPr>
          <w:rFonts w:ascii="Verdana" w:hAnsi="Verdana"/>
          <w:sz w:val="20"/>
          <w:szCs w:val="20"/>
        </w:rPr>
      </w:pPr>
      <w:r w:rsidRPr="002672AB">
        <w:rPr>
          <w:rFonts w:ascii="Verdana" w:hAnsi="Verdana"/>
          <w:sz w:val="20"/>
          <w:szCs w:val="20"/>
        </w:rPr>
        <w:t>Un cronograma para el cumplimiento y desarrollo del programa de restablecimiento, que permita identificar de manera específica todas y cada una de las metas a cumplir en el término establecido para tal fin.</w:t>
      </w:r>
    </w:p>
    <w:p w14:paraId="2956E9E5" w14:textId="77777777" w:rsidR="009D1CDF" w:rsidRPr="00507671" w:rsidRDefault="009D1CDF" w:rsidP="009D1CDF">
      <w:pPr>
        <w:spacing w:after="0"/>
        <w:jc w:val="both"/>
        <w:rPr>
          <w:rFonts w:ascii="Verdana" w:hAnsi="Verdana"/>
          <w:sz w:val="20"/>
          <w:szCs w:val="20"/>
        </w:rPr>
      </w:pPr>
    </w:p>
    <w:p w14:paraId="6331C764" w14:textId="7EF0E82B" w:rsidR="00E61C78" w:rsidRDefault="00E61C78" w:rsidP="00E61C78">
      <w:pPr>
        <w:spacing w:after="0"/>
        <w:jc w:val="both"/>
        <w:rPr>
          <w:rFonts w:ascii="Verdana" w:hAnsi="Verdana"/>
          <w:sz w:val="20"/>
          <w:szCs w:val="20"/>
        </w:rPr>
      </w:pPr>
      <w:r w:rsidRPr="17FBBDE5">
        <w:rPr>
          <w:rFonts w:ascii="Verdana" w:hAnsi="Verdana"/>
          <w:sz w:val="20"/>
          <w:szCs w:val="20"/>
        </w:rPr>
        <w:t>2.5.</w:t>
      </w:r>
      <w:r w:rsidR="0448ED80" w:rsidRPr="17FBBDE5">
        <w:rPr>
          <w:rFonts w:ascii="Verdana" w:hAnsi="Verdana"/>
          <w:sz w:val="20"/>
          <w:szCs w:val="20"/>
        </w:rPr>
        <w:t>104</w:t>
      </w:r>
      <w:r w:rsidRPr="17FBBDE5">
        <w:rPr>
          <w:rFonts w:ascii="Verdana" w:hAnsi="Verdana"/>
          <w:sz w:val="20"/>
          <w:szCs w:val="20"/>
        </w:rPr>
        <w:t>.</w:t>
      </w:r>
    </w:p>
    <w:p w14:paraId="0657C1CC" w14:textId="77777777" w:rsidR="009D1CDF" w:rsidRPr="00507671" w:rsidRDefault="009D1CDF" w:rsidP="009D1CDF">
      <w:pPr>
        <w:spacing w:after="0"/>
        <w:jc w:val="both"/>
        <w:rPr>
          <w:rFonts w:ascii="Verdana" w:hAnsi="Verdana"/>
          <w:sz w:val="20"/>
          <w:szCs w:val="20"/>
        </w:rPr>
      </w:pPr>
      <w:r w:rsidRPr="00507671">
        <w:rPr>
          <w:rFonts w:ascii="Verdana" w:hAnsi="Verdana"/>
          <w:sz w:val="20"/>
          <w:szCs w:val="20"/>
        </w:rPr>
        <w:t>En todo caso, el programa de restablecimiento que se presente a consideración de la SFC debe tener previsto para su ejecución total en un período máximo de 1 año, contado a partir de la fecha de su aprobación por parte de la SFC, el cual podrá prorrogarse por un año más, sujeto a la justificación técnica respectiva y aprobación de la SFC.</w:t>
      </w:r>
    </w:p>
    <w:p w14:paraId="6FB26D26" w14:textId="77777777" w:rsidR="009D1CDF" w:rsidRPr="00507671" w:rsidRDefault="009D1CDF" w:rsidP="009D1CDF">
      <w:pPr>
        <w:spacing w:after="0"/>
        <w:jc w:val="both"/>
        <w:rPr>
          <w:rFonts w:ascii="Verdana" w:hAnsi="Verdana"/>
          <w:b/>
          <w:sz w:val="20"/>
          <w:szCs w:val="20"/>
        </w:rPr>
      </w:pPr>
    </w:p>
    <w:p w14:paraId="74DB4746" w14:textId="77777777" w:rsidR="00005F97" w:rsidRDefault="00005F97" w:rsidP="00005F97">
      <w:pPr>
        <w:spacing w:after="0"/>
        <w:jc w:val="both"/>
        <w:rPr>
          <w:rFonts w:ascii="Verdana" w:hAnsi="Verdana"/>
          <w:b/>
          <w:sz w:val="20"/>
          <w:szCs w:val="20"/>
        </w:rPr>
      </w:pPr>
    </w:p>
    <w:p w14:paraId="0CA31716" w14:textId="77777777" w:rsidR="00005F97" w:rsidRDefault="00005F97" w:rsidP="00005F97">
      <w:pPr>
        <w:spacing w:after="0"/>
        <w:jc w:val="both"/>
        <w:rPr>
          <w:rFonts w:ascii="Verdana" w:hAnsi="Verdana"/>
          <w:b/>
          <w:sz w:val="20"/>
          <w:szCs w:val="20"/>
        </w:rPr>
      </w:pPr>
    </w:p>
    <w:p w14:paraId="4DA81591" w14:textId="77777777" w:rsidR="00005F97" w:rsidRDefault="00005F97" w:rsidP="00005F97">
      <w:pPr>
        <w:spacing w:after="0"/>
        <w:jc w:val="both"/>
        <w:rPr>
          <w:rFonts w:ascii="Verdana" w:hAnsi="Verdana"/>
          <w:b/>
          <w:sz w:val="20"/>
          <w:szCs w:val="20"/>
        </w:rPr>
      </w:pPr>
    </w:p>
    <w:p w14:paraId="2B1233EE" w14:textId="67B96016" w:rsidR="009D1CDF" w:rsidRPr="00005F97" w:rsidRDefault="009D1CDF" w:rsidP="00005F97">
      <w:pPr>
        <w:spacing w:after="0"/>
        <w:jc w:val="both"/>
        <w:rPr>
          <w:rFonts w:ascii="Verdana" w:hAnsi="Verdana"/>
          <w:b/>
          <w:sz w:val="20"/>
          <w:szCs w:val="20"/>
        </w:rPr>
      </w:pPr>
      <w:r w:rsidRPr="00005F97">
        <w:rPr>
          <w:rFonts w:ascii="Verdana" w:hAnsi="Verdana"/>
          <w:b/>
          <w:sz w:val="20"/>
          <w:szCs w:val="20"/>
        </w:rPr>
        <w:lastRenderedPageBreak/>
        <w:t>Incumplimiento del programa de restablecimiento y sanciones</w:t>
      </w:r>
    </w:p>
    <w:p w14:paraId="745F054E" w14:textId="77777777" w:rsidR="009D1CDF" w:rsidRPr="00507671" w:rsidRDefault="009D1CDF" w:rsidP="009D1CDF">
      <w:pPr>
        <w:spacing w:after="0"/>
        <w:jc w:val="both"/>
        <w:rPr>
          <w:rFonts w:ascii="Verdana" w:hAnsi="Verdana"/>
          <w:b/>
          <w:sz w:val="20"/>
          <w:szCs w:val="20"/>
        </w:rPr>
      </w:pPr>
    </w:p>
    <w:p w14:paraId="22638EFA" w14:textId="3D703718" w:rsidR="00E61C78" w:rsidRDefault="00E61C78" w:rsidP="00E61C78">
      <w:pPr>
        <w:spacing w:after="0"/>
        <w:jc w:val="both"/>
        <w:rPr>
          <w:rFonts w:ascii="Verdana" w:hAnsi="Verdana"/>
          <w:sz w:val="20"/>
          <w:szCs w:val="20"/>
        </w:rPr>
      </w:pPr>
      <w:r w:rsidRPr="17FBBDE5">
        <w:rPr>
          <w:rFonts w:ascii="Verdana" w:hAnsi="Verdana"/>
          <w:sz w:val="20"/>
          <w:szCs w:val="20"/>
        </w:rPr>
        <w:t>2.5.</w:t>
      </w:r>
      <w:r w:rsidR="5B888CA5" w:rsidRPr="17FBBDE5">
        <w:rPr>
          <w:rFonts w:ascii="Verdana" w:hAnsi="Verdana"/>
          <w:sz w:val="20"/>
          <w:szCs w:val="20"/>
        </w:rPr>
        <w:t>105</w:t>
      </w:r>
      <w:r w:rsidRPr="17FBBDE5">
        <w:rPr>
          <w:rFonts w:ascii="Verdana" w:hAnsi="Verdana"/>
          <w:sz w:val="20"/>
          <w:szCs w:val="20"/>
        </w:rPr>
        <w:t>.</w:t>
      </w:r>
    </w:p>
    <w:p w14:paraId="7C5B64FD" w14:textId="203B57A8" w:rsidR="009D1CDF" w:rsidRPr="00507671" w:rsidRDefault="009D1CDF" w:rsidP="009D1CDF">
      <w:pPr>
        <w:spacing w:after="0"/>
        <w:jc w:val="both"/>
        <w:rPr>
          <w:rFonts w:ascii="Verdana" w:hAnsi="Verdana"/>
          <w:sz w:val="20"/>
          <w:szCs w:val="20"/>
        </w:rPr>
      </w:pPr>
      <w:r w:rsidRPr="00507671">
        <w:rPr>
          <w:rFonts w:ascii="Verdana" w:hAnsi="Verdana"/>
          <w:sz w:val="20"/>
          <w:szCs w:val="20"/>
        </w:rPr>
        <w:t>La SFC impondrá al holding financiero las sanciones a que haya lugar, conforme a sus facultades legales previstas en el artículo 4° de la Ley 1870 de 201</w:t>
      </w:r>
      <w:r w:rsidR="002119C8">
        <w:rPr>
          <w:rFonts w:ascii="Verdana" w:hAnsi="Verdana"/>
          <w:sz w:val="20"/>
          <w:szCs w:val="20"/>
        </w:rPr>
        <w:t>7</w:t>
      </w:r>
      <w:r w:rsidRPr="00507671">
        <w:rPr>
          <w:rFonts w:ascii="Verdana" w:hAnsi="Verdana"/>
          <w:sz w:val="20"/>
          <w:szCs w:val="20"/>
        </w:rPr>
        <w:t>, sin considerar la ejecución parcial o incompleta del programa de restablecimiento, cuando verifique el incumplimiento de cualquiera de las condiciones del citado programa.</w:t>
      </w:r>
    </w:p>
    <w:p w14:paraId="593E2E3A" w14:textId="77777777" w:rsidR="009D1CDF" w:rsidRPr="00507671" w:rsidRDefault="009D1CDF" w:rsidP="009D1CDF">
      <w:pPr>
        <w:spacing w:after="0"/>
        <w:jc w:val="both"/>
        <w:rPr>
          <w:rFonts w:ascii="Verdana" w:hAnsi="Verdana"/>
          <w:sz w:val="20"/>
          <w:szCs w:val="20"/>
        </w:rPr>
      </w:pPr>
    </w:p>
    <w:p w14:paraId="4B8F9BCD" w14:textId="1DBCE847" w:rsidR="00854084" w:rsidRDefault="00854084" w:rsidP="00854084">
      <w:pPr>
        <w:spacing w:after="0"/>
        <w:jc w:val="both"/>
        <w:rPr>
          <w:rFonts w:ascii="Verdana" w:hAnsi="Verdana"/>
          <w:sz w:val="20"/>
          <w:szCs w:val="20"/>
        </w:rPr>
      </w:pPr>
      <w:r w:rsidRPr="17FBBDE5">
        <w:rPr>
          <w:rFonts w:ascii="Verdana" w:hAnsi="Verdana"/>
          <w:sz w:val="20"/>
          <w:szCs w:val="20"/>
        </w:rPr>
        <w:t>2.5.</w:t>
      </w:r>
      <w:r w:rsidR="548ED733" w:rsidRPr="17FBBDE5">
        <w:rPr>
          <w:rFonts w:ascii="Verdana" w:hAnsi="Verdana"/>
          <w:sz w:val="20"/>
          <w:szCs w:val="20"/>
        </w:rPr>
        <w:t>106</w:t>
      </w:r>
      <w:r w:rsidRPr="17FBBDE5">
        <w:rPr>
          <w:rFonts w:ascii="Verdana" w:hAnsi="Verdana"/>
          <w:sz w:val="20"/>
          <w:szCs w:val="20"/>
        </w:rPr>
        <w:t>.</w:t>
      </w:r>
    </w:p>
    <w:p w14:paraId="41804BB3" w14:textId="0CB76828" w:rsidR="009D1CDF" w:rsidRPr="00507671" w:rsidRDefault="009D1CDF" w:rsidP="009D1CDF">
      <w:pPr>
        <w:spacing w:after="0"/>
        <w:jc w:val="both"/>
        <w:rPr>
          <w:rFonts w:ascii="Verdana" w:hAnsi="Verdana"/>
          <w:sz w:val="20"/>
          <w:szCs w:val="20"/>
        </w:rPr>
      </w:pPr>
      <w:r w:rsidRPr="00507671">
        <w:rPr>
          <w:rFonts w:ascii="Verdana" w:hAnsi="Verdana"/>
          <w:sz w:val="20"/>
          <w:szCs w:val="20"/>
        </w:rPr>
        <w:t xml:space="preserve">Lo anterior sin perjuicio de las facultades sancionatorias y administrativas de la SFC respecto del cumplimiento de las normas de patrimonio técnico y adecuado que le son aplicables al holding financiero y a </w:t>
      </w:r>
      <w:r w:rsidR="00430C14" w:rsidRPr="00507671">
        <w:rPr>
          <w:rFonts w:ascii="Verdana" w:hAnsi="Verdana"/>
          <w:sz w:val="20"/>
          <w:szCs w:val="20"/>
        </w:rPr>
        <w:t>las entidades</w:t>
      </w:r>
      <w:r w:rsidRPr="00507671">
        <w:rPr>
          <w:rFonts w:ascii="Verdana" w:hAnsi="Verdana"/>
          <w:sz w:val="20"/>
          <w:szCs w:val="20"/>
        </w:rPr>
        <w:t xml:space="preserve"> vigiladas que conforman el conglomerado financiero.</w:t>
      </w:r>
    </w:p>
    <w:p w14:paraId="71E4E9B1" w14:textId="77777777" w:rsidR="009D1CDF" w:rsidRPr="00507671" w:rsidRDefault="009D1CDF" w:rsidP="009D1CDF">
      <w:pPr>
        <w:spacing w:after="0"/>
        <w:jc w:val="both"/>
        <w:rPr>
          <w:rFonts w:ascii="Verdana" w:hAnsi="Verdana"/>
          <w:sz w:val="20"/>
          <w:szCs w:val="20"/>
        </w:rPr>
      </w:pPr>
    </w:p>
    <w:p w14:paraId="0527F902" w14:textId="075CBE03" w:rsidR="00854084" w:rsidRDefault="00854084" w:rsidP="00854084">
      <w:pPr>
        <w:spacing w:after="0"/>
        <w:jc w:val="both"/>
        <w:rPr>
          <w:rFonts w:ascii="Verdana" w:hAnsi="Verdana"/>
          <w:sz w:val="20"/>
          <w:szCs w:val="20"/>
        </w:rPr>
      </w:pPr>
      <w:r w:rsidRPr="17FBBDE5">
        <w:rPr>
          <w:rFonts w:ascii="Verdana" w:hAnsi="Verdana"/>
          <w:sz w:val="20"/>
          <w:szCs w:val="20"/>
        </w:rPr>
        <w:t>2.5.</w:t>
      </w:r>
      <w:r w:rsidR="44C173C9" w:rsidRPr="17FBBDE5">
        <w:rPr>
          <w:rFonts w:ascii="Verdana" w:hAnsi="Verdana"/>
          <w:sz w:val="20"/>
          <w:szCs w:val="20"/>
        </w:rPr>
        <w:t>107</w:t>
      </w:r>
      <w:r w:rsidRPr="17FBBDE5">
        <w:rPr>
          <w:rFonts w:ascii="Verdana" w:hAnsi="Verdana"/>
          <w:sz w:val="20"/>
          <w:szCs w:val="20"/>
        </w:rPr>
        <w:t>.</w:t>
      </w:r>
    </w:p>
    <w:p w14:paraId="62E506A2" w14:textId="34D85BB5" w:rsidR="009D1CDF" w:rsidRDefault="009D1CDF" w:rsidP="009D1CDF">
      <w:pPr>
        <w:spacing w:after="0"/>
        <w:rPr>
          <w:rFonts w:ascii="Verdana" w:hAnsi="Verdana"/>
          <w:sz w:val="20"/>
          <w:szCs w:val="20"/>
        </w:rPr>
      </w:pPr>
      <w:r w:rsidRPr="00507671">
        <w:rPr>
          <w:rFonts w:ascii="Verdana" w:hAnsi="Verdana"/>
          <w:sz w:val="20"/>
          <w:szCs w:val="20"/>
        </w:rPr>
        <w:t xml:space="preserve">Bajo ningún entendido la aprobación del programa de restablecimiento que presente el holding financiero en el marco del presente numeral exime a éste y a </w:t>
      </w:r>
      <w:r w:rsidR="00430C14" w:rsidRPr="00507671">
        <w:rPr>
          <w:rFonts w:ascii="Verdana" w:hAnsi="Verdana"/>
          <w:sz w:val="20"/>
          <w:szCs w:val="20"/>
        </w:rPr>
        <w:t>las entidades</w:t>
      </w:r>
      <w:r w:rsidRPr="00507671">
        <w:rPr>
          <w:rFonts w:ascii="Verdana" w:hAnsi="Verdana"/>
          <w:sz w:val="20"/>
          <w:szCs w:val="20"/>
        </w:rPr>
        <w:t xml:space="preserve"> que conforman el conglomerado financiero del cumplimiento del patrimonio adecuado o patrimonio técnico y niveles mínimos del mismo.</w:t>
      </w:r>
    </w:p>
    <w:p w14:paraId="6543D8D7" w14:textId="77777777" w:rsidR="00A54EE9" w:rsidRPr="00507671" w:rsidRDefault="00A54EE9" w:rsidP="009D1CDF">
      <w:pPr>
        <w:spacing w:after="0"/>
        <w:rPr>
          <w:rFonts w:ascii="Verdana" w:hAnsi="Verdana"/>
          <w:sz w:val="20"/>
          <w:szCs w:val="20"/>
        </w:rPr>
      </w:pPr>
    </w:p>
    <w:sectPr w:rsidR="00A54EE9" w:rsidRPr="00507671" w:rsidSect="003C558F">
      <w:headerReference w:type="default" r:id="rId11"/>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CD373" w14:textId="77777777" w:rsidR="00A21375" w:rsidRDefault="00A21375" w:rsidP="00057BF6">
      <w:pPr>
        <w:spacing w:after="0" w:line="240" w:lineRule="auto"/>
      </w:pPr>
      <w:r>
        <w:separator/>
      </w:r>
    </w:p>
  </w:endnote>
  <w:endnote w:type="continuationSeparator" w:id="0">
    <w:p w14:paraId="74D3C1F2" w14:textId="77777777" w:rsidR="00A21375" w:rsidRDefault="00A21375" w:rsidP="00057BF6">
      <w:pPr>
        <w:spacing w:after="0" w:line="240" w:lineRule="auto"/>
      </w:pPr>
      <w:r>
        <w:continuationSeparator/>
      </w:r>
    </w:p>
  </w:endnote>
  <w:endnote w:type="continuationNotice" w:id="1">
    <w:p w14:paraId="572E1757" w14:textId="77777777" w:rsidR="00A21375" w:rsidRDefault="00A213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093B6" w14:textId="77777777" w:rsidR="00A21375" w:rsidRDefault="00A21375" w:rsidP="00057BF6">
      <w:pPr>
        <w:spacing w:after="0" w:line="240" w:lineRule="auto"/>
      </w:pPr>
      <w:r>
        <w:separator/>
      </w:r>
    </w:p>
  </w:footnote>
  <w:footnote w:type="continuationSeparator" w:id="0">
    <w:p w14:paraId="2C7E8658" w14:textId="77777777" w:rsidR="00A21375" w:rsidRDefault="00A21375" w:rsidP="00057BF6">
      <w:pPr>
        <w:spacing w:after="0" w:line="240" w:lineRule="auto"/>
      </w:pPr>
      <w:r>
        <w:continuationSeparator/>
      </w:r>
    </w:p>
  </w:footnote>
  <w:footnote w:type="continuationNotice" w:id="1">
    <w:p w14:paraId="1E68497C" w14:textId="77777777" w:rsidR="00A21375" w:rsidRDefault="00A213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3EF0"/>
    <w:multiLevelType w:val="hybridMultilevel"/>
    <w:tmpl w:val="3094197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6C5346"/>
    <w:multiLevelType w:val="hybridMultilevel"/>
    <w:tmpl w:val="B83C635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205D1E"/>
    <w:multiLevelType w:val="hybridMultilevel"/>
    <w:tmpl w:val="843427FC"/>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E2D06F0"/>
    <w:multiLevelType w:val="hybridMultilevel"/>
    <w:tmpl w:val="7682BD3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1633C1E"/>
    <w:multiLevelType w:val="hybridMultilevel"/>
    <w:tmpl w:val="8A28AD3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398583C"/>
    <w:multiLevelType w:val="hybridMultilevel"/>
    <w:tmpl w:val="E8B2ACB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7B52BE0"/>
    <w:multiLevelType w:val="hybridMultilevel"/>
    <w:tmpl w:val="1DF0071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D102CEA"/>
    <w:multiLevelType w:val="hybridMultilevel"/>
    <w:tmpl w:val="438CA030"/>
    <w:lvl w:ilvl="0" w:tplc="240A0015">
      <w:start w:val="1"/>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D1728B6"/>
    <w:multiLevelType w:val="hybridMultilevel"/>
    <w:tmpl w:val="520AAAC8"/>
    <w:lvl w:ilvl="0" w:tplc="240A0015">
      <w:start w:val="1"/>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0AE5A9D"/>
    <w:multiLevelType w:val="hybridMultilevel"/>
    <w:tmpl w:val="96A6EF3C"/>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57C39AC"/>
    <w:multiLevelType w:val="hybridMultilevel"/>
    <w:tmpl w:val="38D6E2CA"/>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B9B2691"/>
    <w:multiLevelType w:val="hybridMultilevel"/>
    <w:tmpl w:val="1FEE5986"/>
    <w:lvl w:ilvl="0" w:tplc="E74A91C0">
      <w:start w:val="1"/>
      <w:numFmt w:val="upperLetter"/>
      <w:lvlText w:val="%1."/>
      <w:lvlJc w:val="left"/>
      <w:pPr>
        <w:ind w:left="2520" w:hanging="360"/>
      </w:pPr>
      <w:rPr>
        <w:rFonts w:hint="default"/>
      </w:rPr>
    </w:lvl>
    <w:lvl w:ilvl="1" w:tplc="240A0019">
      <w:start w:val="1"/>
      <w:numFmt w:val="lowerLetter"/>
      <w:lvlText w:val="%2."/>
      <w:lvlJc w:val="left"/>
      <w:pPr>
        <w:ind w:left="3240" w:hanging="360"/>
      </w:pPr>
    </w:lvl>
    <w:lvl w:ilvl="2" w:tplc="2F0A0F1E">
      <w:start w:val="1"/>
      <w:numFmt w:val="lowerRoman"/>
      <w:lvlText w:val="%3."/>
      <w:lvlJc w:val="left"/>
      <w:pPr>
        <w:ind w:left="4140" w:hanging="360"/>
      </w:pPr>
      <w:rPr>
        <w:rFonts w:ascii="Verdana" w:eastAsiaTheme="minorHAnsi" w:hAnsi="Verdana" w:cs="Arial" w:hint="default"/>
      </w:rPr>
    </w:lvl>
    <w:lvl w:ilvl="3" w:tplc="240A000F" w:tentative="1">
      <w:start w:val="1"/>
      <w:numFmt w:val="decimal"/>
      <w:lvlText w:val="%4."/>
      <w:lvlJc w:val="left"/>
      <w:pPr>
        <w:ind w:left="4680" w:hanging="360"/>
      </w:pPr>
    </w:lvl>
    <w:lvl w:ilvl="4" w:tplc="240A0019">
      <w:start w:val="1"/>
      <w:numFmt w:val="lowerLetter"/>
      <w:lvlText w:val="%5."/>
      <w:lvlJc w:val="left"/>
      <w:pPr>
        <w:ind w:left="5400" w:hanging="360"/>
      </w:pPr>
    </w:lvl>
    <w:lvl w:ilvl="5" w:tplc="240A001B">
      <w:start w:val="1"/>
      <w:numFmt w:val="lowerRoman"/>
      <w:lvlText w:val="%6."/>
      <w:lvlJc w:val="right"/>
      <w:pPr>
        <w:ind w:left="6120" w:hanging="180"/>
      </w:pPr>
    </w:lvl>
    <w:lvl w:ilvl="6" w:tplc="240A000F">
      <w:start w:val="1"/>
      <w:numFmt w:val="decimal"/>
      <w:lvlText w:val="%7."/>
      <w:lvlJc w:val="left"/>
      <w:pPr>
        <w:ind w:left="6840" w:hanging="360"/>
      </w:pPr>
    </w:lvl>
    <w:lvl w:ilvl="7" w:tplc="240A0019" w:tentative="1">
      <w:start w:val="1"/>
      <w:numFmt w:val="lowerLetter"/>
      <w:lvlText w:val="%8."/>
      <w:lvlJc w:val="left"/>
      <w:pPr>
        <w:ind w:left="7560" w:hanging="360"/>
      </w:pPr>
    </w:lvl>
    <w:lvl w:ilvl="8" w:tplc="240A001B" w:tentative="1">
      <w:start w:val="1"/>
      <w:numFmt w:val="lowerRoman"/>
      <w:lvlText w:val="%9."/>
      <w:lvlJc w:val="right"/>
      <w:pPr>
        <w:ind w:left="8280" w:hanging="180"/>
      </w:pPr>
    </w:lvl>
  </w:abstractNum>
  <w:abstractNum w:abstractNumId="12" w15:restartNumberingAfterBreak="0">
    <w:nsid w:val="2F9E7D04"/>
    <w:multiLevelType w:val="hybridMultilevel"/>
    <w:tmpl w:val="6B0AF19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0FC60C8"/>
    <w:multiLevelType w:val="hybridMultilevel"/>
    <w:tmpl w:val="9CD2B9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5BF1E94"/>
    <w:multiLevelType w:val="hybridMultilevel"/>
    <w:tmpl w:val="46162C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B6F4C07"/>
    <w:multiLevelType w:val="hybridMultilevel"/>
    <w:tmpl w:val="E402BCB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33A3D38"/>
    <w:multiLevelType w:val="hybridMultilevel"/>
    <w:tmpl w:val="4ECC418E"/>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7" w15:restartNumberingAfterBreak="0">
    <w:nsid w:val="43D90BA4"/>
    <w:multiLevelType w:val="hybridMultilevel"/>
    <w:tmpl w:val="ECB69F36"/>
    <w:lvl w:ilvl="0" w:tplc="240A0015">
      <w:start w:val="2"/>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9434CFD"/>
    <w:multiLevelType w:val="hybridMultilevel"/>
    <w:tmpl w:val="A00A2A82"/>
    <w:lvl w:ilvl="0" w:tplc="240A001B">
      <w:start w:val="1"/>
      <w:numFmt w:val="low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3FE0220"/>
    <w:multiLevelType w:val="hybridMultilevel"/>
    <w:tmpl w:val="D3C816F8"/>
    <w:lvl w:ilvl="0" w:tplc="7F36C60A">
      <w:start w:val="1"/>
      <w:numFmt w:val="lowerLetter"/>
      <w:lvlText w:val="%1."/>
      <w:lvlJc w:val="left"/>
      <w:pPr>
        <w:ind w:left="719" w:hanging="360"/>
      </w:pPr>
      <w:rPr>
        <w:rFonts w:ascii="Verdana" w:eastAsiaTheme="minorHAnsi" w:hAnsi="Verdana" w:cstheme="minorBidi"/>
      </w:rPr>
    </w:lvl>
    <w:lvl w:ilvl="1" w:tplc="240A0019">
      <w:start w:val="1"/>
      <w:numFmt w:val="lowerLetter"/>
      <w:lvlText w:val="%2."/>
      <w:lvlJc w:val="left"/>
      <w:pPr>
        <w:ind w:left="1439" w:hanging="360"/>
      </w:pPr>
    </w:lvl>
    <w:lvl w:ilvl="2" w:tplc="240A001B">
      <w:start w:val="1"/>
      <w:numFmt w:val="lowerRoman"/>
      <w:lvlText w:val="%3."/>
      <w:lvlJc w:val="right"/>
      <w:pPr>
        <w:ind w:left="2159" w:hanging="180"/>
      </w:pPr>
    </w:lvl>
    <w:lvl w:ilvl="3" w:tplc="240A000F">
      <w:start w:val="1"/>
      <w:numFmt w:val="decimal"/>
      <w:lvlText w:val="%4."/>
      <w:lvlJc w:val="left"/>
      <w:pPr>
        <w:ind w:left="2879" w:hanging="360"/>
      </w:pPr>
    </w:lvl>
    <w:lvl w:ilvl="4" w:tplc="240A0019">
      <w:start w:val="1"/>
      <w:numFmt w:val="lowerLetter"/>
      <w:lvlText w:val="%5."/>
      <w:lvlJc w:val="left"/>
      <w:pPr>
        <w:ind w:left="3599" w:hanging="360"/>
      </w:pPr>
    </w:lvl>
    <w:lvl w:ilvl="5" w:tplc="240A001B">
      <w:start w:val="1"/>
      <w:numFmt w:val="lowerRoman"/>
      <w:lvlText w:val="%6."/>
      <w:lvlJc w:val="right"/>
      <w:pPr>
        <w:ind w:left="4319" w:hanging="180"/>
      </w:pPr>
    </w:lvl>
    <w:lvl w:ilvl="6" w:tplc="240A000F">
      <w:start w:val="1"/>
      <w:numFmt w:val="decimal"/>
      <w:lvlText w:val="%7."/>
      <w:lvlJc w:val="left"/>
      <w:pPr>
        <w:ind w:left="5039" w:hanging="360"/>
      </w:pPr>
    </w:lvl>
    <w:lvl w:ilvl="7" w:tplc="240A0019">
      <w:start w:val="1"/>
      <w:numFmt w:val="lowerLetter"/>
      <w:lvlText w:val="%8."/>
      <w:lvlJc w:val="left"/>
      <w:pPr>
        <w:ind w:left="5759" w:hanging="360"/>
      </w:pPr>
    </w:lvl>
    <w:lvl w:ilvl="8" w:tplc="240A001B">
      <w:start w:val="1"/>
      <w:numFmt w:val="lowerRoman"/>
      <w:lvlText w:val="%9."/>
      <w:lvlJc w:val="right"/>
      <w:pPr>
        <w:ind w:left="6479" w:hanging="180"/>
      </w:pPr>
    </w:lvl>
  </w:abstractNum>
  <w:abstractNum w:abstractNumId="20" w15:restartNumberingAfterBreak="0">
    <w:nsid w:val="559A4B49"/>
    <w:multiLevelType w:val="hybridMultilevel"/>
    <w:tmpl w:val="FC201ED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EB47450"/>
    <w:multiLevelType w:val="hybridMultilevel"/>
    <w:tmpl w:val="F70E82F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A33DBC"/>
    <w:multiLevelType w:val="hybridMultilevel"/>
    <w:tmpl w:val="44F6E0D4"/>
    <w:lvl w:ilvl="0" w:tplc="6C649186">
      <w:start w:val="2"/>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3323E78"/>
    <w:multiLevelType w:val="hybridMultilevel"/>
    <w:tmpl w:val="4212322C"/>
    <w:lvl w:ilvl="0" w:tplc="240A0019">
      <w:start w:val="9"/>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6B170B6"/>
    <w:multiLevelType w:val="hybridMultilevel"/>
    <w:tmpl w:val="A636E21C"/>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676D09B1"/>
    <w:multiLevelType w:val="hybridMultilevel"/>
    <w:tmpl w:val="1BDC314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86D7AA9"/>
    <w:multiLevelType w:val="hybridMultilevel"/>
    <w:tmpl w:val="64BC173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8AE3229"/>
    <w:multiLevelType w:val="hybridMultilevel"/>
    <w:tmpl w:val="30941974"/>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DDE2B984">
      <w:start w:val="1"/>
      <w:numFmt w:val="upperLetter"/>
      <w:lvlText w:val="%4."/>
      <w:lvlJc w:val="left"/>
      <w:pPr>
        <w:ind w:left="2880" w:hanging="360"/>
      </w:pPr>
      <w:rPr>
        <w:rFonts w:hint="default"/>
      </w:rPr>
    </w:lvl>
    <w:lvl w:ilvl="4" w:tplc="240A0019" w:tentative="1">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C7F7FF7"/>
    <w:multiLevelType w:val="hybridMultilevel"/>
    <w:tmpl w:val="5F06CB5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053777D"/>
    <w:multiLevelType w:val="hybridMultilevel"/>
    <w:tmpl w:val="6DC6BB1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CE8230F"/>
    <w:multiLevelType w:val="hybridMultilevel"/>
    <w:tmpl w:val="87CAB52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145871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04982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14202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4730372">
    <w:abstractNumId w:val="11"/>
  </w:num>
  <w:num w:numId="5" w16cid:durableId="1076127239">
    <w:abstractNumId w:val="17"/>
  </w:num>
  <w:num w:numId="6" w16cid:durableId="291788489">
    <w:abstractNumId w:val="27"/>
  </w:num>
  <w:num w:numId="7" w16cid:durableId="340857357">
    <w:abstractNumId w:val="3"/>
  </w:num>
  <w:num w:numId="8" w16cid:durableId="269239612">
    <w:abstractNumId w:val="18"/>
  </w:num>
  <w:num w:numId="9" w16cid:durableId="180122583">
    <w:abstractNumId w:val="13"/>
  </w:num>
  <w:num w:numId="10" w16cid:durableId="1540818981">
    <w:abstractNumId w:val="7"/>
  </w:num>
  <w:num w:numId="11" w16cid:durableId="1883208139">
    <w:abstractNumId w:val="30"/>
  </w:num>
  <w:num w:numId="12" w16cid:durableId="1822848641">
    <w:abstractNumId w:val="5"/>
  </w:num>
  <w:num w:numId="13" w16cid:durableId="1223523072">
    <w:abstractNumId w:val="15"/>
  </w:num>
  <w:num w:numId="14" w16cid:durableId="98647084">
    <w:abstractNumId w:val="8"/>
  </w:num>
  <w:num w:numId="15" w16cid:durableId="2131319837">
    <w:abstractNumId w:val="10"/>
  </w:num>
  <w:num w:numId="16" w16cid:durableId="1949460263">
    <w:abstractNumId w:val="25"/>
  </w:num>
  <w:num w:numId="17" w16cid:durableId="686449404">
    <w:abstractNumId w:val="23"/>
  </w:num>
  <w:num w:numId="18" w16cid:durableId="36318718">
    <w:abstractNumId w:val="22"/>
  </w:num>
  <w:num w:numId="19" w16cid:durableId="1859541803">
    <w:abstractNumId w:val="24"/>
  </w:num>
  <w:num w:numId="20" w16cid:durableId="2104719789">
    <w:abstractNumId w:val="14"/>
  </w:num>
  <w:num w:numId="21" w16cid:durableId="1564413668">
    <w:abstractNumId w:val="1"/>
  </w:num>
  <w:num w:numId="22" w16cid:durableId="1839149076">
    <w:abstractNumId w:val="12"/>
  </w:num>
  <w:num w:numId="23" w16cid:durableId="1808888593">
    <w:abstractNumId w:val="26"/>
  </w:num>
  <w:num w:numId="24" w16cid:durableId="1886140874">
    <w:abstractNumId w:val="28"/>
  </w:num>
  <w:num w:numId="25" w16cid:durableId="114911874">
    <w:abstractNumId w:val="4"/>
  </w:num>
  <w:num w:numId="26" w16cid:durableId="1082752431">
    <w:abstractNumId w:val="2"/>
  </w:num>
  <w:num w:numId="27" w16cid:durableId="1149983079">
    <w:abstractNumId w:val="6"/>
  </w:num>
  <w:num w:numId="28" w16cid:durableId="742678220">
    <w:abstractNumId w:val="0"/>
  </w:num>
  <w:num w:numId="29" w16cid:durableId="4943385">
    <w:abstractNumId w:val="20"/>
  </w:num>
  <w:num w:numId="30" w16cid:durableId="1097362713">
    <w:abstractNumId w:val="9"/>
  </w:num>
  <w:num w:numId="31" w16cid:durableId="1659923474">
    <w:abstractNumId w:val="29"/>
  </w:num>
  <w:num w:numId="32" w16cid:durableId="1076591954">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5F97"/>
    <w:rsid w:val="00006F41"/>
    <w:rsid w:val="00017397"/>
    <w:rsid w:val="00020EE1"/>
    <w:rsid w:val="000234AB"/>
    <w:rsid w:val="00024708"/>
    <w:rsid w:val="00027BD5"/>
    <w:rsid w:val="00033C40"/>
    <w:rsid w:val="00040958"/>
    <w:rsid w:val="00041F75"/>
    <w:rsid w:val="00045625"/>
    <w:rsid w:val="0005687E"/>
    <w:rsid w:val="000573A5"/>
    <w:rsid w:val="00057BF6"/>
    <w:rsid w:val="000624D2"/>
    <w:rsid w:val="000627CD"/>
    <w:rsid w:val="0006736C"/>
    <w:rsid w:val="00073959"/>
    <w:rsid w:val="000746FE"/>
    <w:rsid w:val="000752A4"/>
    <w:rsid w:val="00077472"/>
    <w:rsid w:val="00080486"/>
    <w:rsid w:val="000861A5"/>
    <w:rsid w:val="00087593"/>
    <w:rsid w:val="00087671"/>
    <w:rsid w:val="00093545"/>
    <w:rsid w:val="000A1CD6"/>
    <w:rsid w:val="000A1ED0"/>
    <w:rsid w:val="000A5E0C"/>
    <w:rsid w:val="000B003E"/>
    <w:rsid w:val="000B191D"/>
    <w:rsid w:val="000B6402"/>
    <w:rsid w:val="000B6D7E"/>
    <w:rsid w:val="000C110F"/>
    <w:rsid w:val="000C2AB0"/>
    <w:rsid w:val="000D18FC"/>
    <w:rsid w:val="000D6650"/>
    <w:rsid w:val="000F13AD"/>
    <w:rsid w:val="000F220F"/>
    <w:rsid w:val="000F49A0"/>
    <w:rsid w:val="000F4F40"/>
    <w:rsid w:val="00101641"/>
    <w:rsid w:val="00113BD4"/>
    <w:rsid w:val="00117756"/>
    <w:rsid w:val="0012785E"/>
    <w:rsid w:val="00130FBD"/>
    <w:rsid w:val="00131783"/>
    <w:rsid w:val="0014001C"/>
    <w:rsid w:val="00150396"/>
    <w:rsid w:val="00152E41"/>
    <w:rsid w:val="0015506A"/>
    <w:rsid w:val="001557DF"/>
    <w:rsid w:val="00156026"/>
    <w:rsid w:val="001778F3"/>
    <w:rsid w:val="001779E4"/>
    <w:rsid w:val="00182F41"/>
    <w:rsid w:val="00187BF0"/>
    <w:rsid w:val="00196EE1"/>
    <w:rsid w:val="001A15BD"/>
    <w:rsid w:val="001A6B93"/>
    <w:rsid w:val="001B5187"/>
    <w:rsid w:val="001C26A5"/>
    <w:rsid w:val="001C3B3C"/>
    <w:rsid w:val="001C3CA1"/>
    <w:rsid w:val="001C5142"/>
    <w:rsid w:val="001E2255"/>
    <w:rsid w:val="001E4F5C"/>
    <w:rsid w:val="001E758D"/>
    <w:rsid w:val="001F6D1F"/>
    <w:rsid w:val="002042E5"/>
    <w:rsid w:val="002119C8"/>
    <w:rsid w:val="002124AB"/>
    <w:rsid w:val="00213B2E"/>
    <w:rsid w:val="00215E35"/>
    <w:rsid w:val="0021666A"/>
    <w:rsid w:val="00222234"/>
    <w:rsid w:val="00235C93"/>
    <w:rsid w:val="0024094D"/>
    <w:rsid w:val="00246394"/>
    <w:rsid w:val="00251180"/>
    <w:rsid w:val="00254655"/>
    <w:rsid w:val="00257F4E"/>
    <w:rsid w:val="0026347B"/>
    <w:rsid w:val="00263C7F"/>
    <w:rsid w:val="00265737"/>
    <w:rsid w:val="002672AB"/>
    <w:rsid w:val="002759B2"/>
    <w:rsid w:val="002767DF"/>
    <w:rsid w:val="00280D1B"/>
    <w:rsid w:val="0028359E"/>
    <w:rsid w:val="002939E8"/>
    <w:rsid w:val="00295577"/>
    <w:rsid w:val="002A0715"/>
    <w:rsid w:val="002A0F51"/>
    <w:rsid w:val="002A4ED3"/>
    <w:rsid w:val="002B28AD"/>
    <w:rsid w:val="002B4A37"/>
    <w:rsid w:val="002B4F4A"/>
    <w:rsid w:val="002B6714"/>
    <w:rsid w:val="002C6B4A"/>
    <w:rsid w:val="002C7C4A"/>
    <w:rsid w:val="002D0953"/>
    <w:rsid w:val="002D292A"/>
    <w:rsid w:val="002D7892"/>
    <w:rsid w:val="002D7ECF"/>
    <w:rsid w:val="002E3AF4"/>
    <w:rsid w:val="002F06A5"/>
    <w:rsid w:val="002F49A4"/>
    <w:rsid w:val="002F5CF4"/>
    <w:rsid w:val="00306922"/>
    <w:rsid w:val="00310059"/>
    <w:rsid w:val="003114E7"/>
    <w:rsid w:val="00312B68"/>
    <w:rsid w:val="00316BD7"/>
    <w:rsid w:val="003216D7"/>
    <w:rsid w:val="00321F22"/>
    <w:rsid w:val="003221BC"/>
    <w:rsid w:val="00343257"/>
    <w:rsid w:val="00343BF6"/>
    <w:rsid w:val="00345152"/>
    <w:rsid w:val="00350B06"/>
    <w:rsid w:val="003518A5"/>
    <w:rsid w:val="00357867"/>
    <w:rsid w:val="00360449"/>
    <w:rsid w:val="00362B1B"/>
    <w:rsid w:val="00376111"/>
    <w:rsid w:val="00381DA2"/>
    <w:rsid w:val="003A1A54"/>
    <w:rsid w:val="003A1DC9"/>
    <w:rsid w:val="003A28D3"/>
    <w:rsid w:val="003A5CFE"/>
    <w:rsid w:val="003C0A82"/>
    <w:rsid w:val="003C1BE1"/>
    <w:rsid w:val="003C558F"/>
    <w:rsid w:val="003C6F09"/>
    <w:rsid w:val="003C7B45"/>
    <w:rsid w:val="003D025D"/>
    <w:rsid w:val="003D02C1"/>
    <w:rsid w:val="003D096A"/>
    <w:rsid w:val="003D31C2"/>
    <w:rsid w:val="003D69A1"/>
    <w:rsid w:val="003E0EF4"/>
    <w:rsid w:val="003F0E3B"/>
    <w:rsid w:val="003F28D2"/>
    <w:rsid w:val="003F6DEB"/>
    <w:rsid w:val="00402163"/>
    <w:rsid w:val="0040498E"/>
    <w:rsid w:val="00405030"/>
    <w:rsid w:val="00405D2F"/>
    <w:rsid w:val="00406D2B"/>
    <w:rsid w:val="00421FA9"/>
    <w:rsid w:val="0042239D"/>
    <w:rsid w:val="00430C14"/>
    <w:rsid w:val="0043223D"/>
    <w:rsid w:val="00437E13"/>
    <w:rsid w:val="00450A49"/>
    <w:rsid w:val="00450AC9"/>
    <w:rsid w:val="00457DE3"/>
    <w:rsid w:val="00461670"/>
    <w:rsid w:val="00461A4A"/>
    <w:rsid w:val="00461EA3"/>
    <w:rsid w:val="004662E3"/>
    <w:rsid w:val="00472787"/>
    <w:rsid w:val="00475C3C"/>
    <w:rsid w:val="004764BC"/>
    <w:rsid w:val="004955F2"/>
    <w:rsid w:val="004976DE"/>
    <w:rsid w:val="004A13E7"/>
    <w:rsid w:val="004A22D5"/>
    <w:rsid w:val="004A374E"/>
    <w:rsid w:val="004A69E9"/>
    <w:rsid w:val="004A766D"/>
    <w:rsid w:val="004B1665"/>
    <w:rsid w:val="004C4BC1"/>
    <w:rsid w:val="004D0255"/>
    <w:rsid w:val="004D0F0F"/>
    <w:rsid w:val="004E39B7"/>
    <w:rsid w:val="004E43AE"/>
    <w:rsid w:val="004E47D0"/>
    <w:rsid w:val="004E4FD6"/>
    <w:rsid w:val="004E5D0E"/>
    <w:rsid w:val="004E6208"/>
    <w:rsid w:val="004F051F"/>
    <w:rsid w:val="0050454C"/>
    <w:rsid w:val="00507671"/>
    <w:rsid w:val="00507CDE"/>
    <w:rsid w:val="00510B9A"/>
    <w:rsid w:val="005125F3"/>
    <w:rsid w:val="00524EE8"/>
    <w:rsid w:val="00525003"/>
    <w:rsid w:val="005333CB"/>
    <w:rsid w:val="00533AB7"/>
    <w:rsid w:val="0053476E"/>
    <w:rsid w:val="00537EFF"/>
    <w:rsid w:val="00540878"/>
    <w:rsid w:val="005428AC"/>
    <w:rsid w:val="005537CD"/>
    <w:rsid w:val="0055591C"/>
    <w:rsid w:val="0055785C"/>
    <w:rsid w:val="00567383"/>
    <w:rsid w:val="0057015F"/>
    <w:rsid w:val="00571F4B"/>
    <w:rsid w:val="005747EE"/>
    <w:rsid w:val="00574D84"/>
    <w:rsid w:val="00576706"/>
    <w:rsid w:val="00586BA7"/>
    <w:rsid w:val="0059329E"/>
    <w:rsid w:val="0059349C"/>
    <w:rsid w:val="00596B88"/>
    <w:rsid w:val="005A35F7"/>
    <w:rsid w:val="005A66B4"/>
    <w:rsid w:val="005A7D87"/>
    <w:rsid w:val="005C2EB6"/>
    <w:rsid w:val="005C3BCA"/>
    <w:rsid w:val="005D41EF"/>
    <w:rsid w:val="005E533B"/>
    <w:rsid w:val="005E7870"/>
    <w:rsid w:val="005F4E42"/>
    <w:rsid w:val="005F56E3"/>
    <w:rsid w:val="005F7632"/>
    <w:rsid w:val="00603C05"/>
    <w:rsid w:val="00610D0C"/>
    <w:rsid w:val="006141C2"/>
    <w:rsid w:val="0061423F"/>
    <w:rsid w:val="00624746"/>
    <w:rsid w:val="006260A2"/>
    <w:rsid w:val="006310AE"/>
    <w:rsid w:val="00634FDA"/>
    <w:rsid w:val="006426F6"/>
    <w:rsid w:val="0064532B"/>
    <w:rsid w:val="0065118D"/>
    <w:rsid w:val="00652DB0"/>
    <w:rsid w:val="00657B80"/>
    <w:rsid w:val="0066078B"/>
    <w:rsid w:val="0066520C"/>
    <w:rsid w:val="0067133D"/>
    <w:rsid w:val="0067150F"/>
    <w:rsid w:val="00673160"/>
    <w:rsid w:val="00673C8C"/>
    <w:rsid w:val="0068317E"/>
    <w:rsid w:val="00687667"/>
    <w:rsid w:val="00696A5C"/>
    <w:rsid w:val="006A014C"/>
    <w:rsid w:val="006A343B"/>
    <w:rsid w:val="006A3C15"/>
    <w:rsid w:val="006A762D"/>
    <w:rsid w:val="006B024C"/>
    <w:rsid w:val="006B608A"/>
    <w:rsid w:val="006B73BD"/>
    <w:rsid w:val="006C2592"/>
    <w:rsid w:val="006C3302"/>
    <w:rsid w:val="006C53B2"/>
    <w:rsid w:val="006C6FEF"/>
    <w:rsid w:val="006C796F"/>
    <w:rsid w:val="006D2028"/>
    <w:rsid w:val="006D65E5"/>
    <w:rsid w:val="006E36A6"/>
    <w:rsid w:val="006E63F2"/>
    <w:rsid w:val="006E6CC1"/>
    <w:rsid w:val="006E6E04"/>
    <w:rsid w:val="006F0498"/>
    <w:rsid w:val="006F0FA9"/>
    <w:rsid w:val="006F3858"/>
    <w:rsid w:val="006F3FCA"/>
    <w:rsid w:val="006F478B"/>
    <w:rsid w:val="00702C8B"/>
    <w:rsid w:val="00715BA6"/>
    <w:rsid w:val="00721D02"/>
    <w:rsid w:val="007242E1"/>
    <w:rsid w:val="007303E3"/>
    <w:rsid w:val="007350D1"/>
    <w:rsid w:val="007553C9"/>
    <w:rsid w:val="007579D6"/>
    <w:rsid w:val="00766BCA"/>
    <w:rsid w:val="00767CB6"/>
    <w:rsid w:val="00767CF8"/>
    <w:rsid w:val="0077026E"/>
    <w:rsid w:val="007711AA"/>
    <w:rsid w:val="007716E0"/>
    <w:rsid w:val="00787BA2"/>
    <w:rsid w:val="00791F2A"/>
    <w:rsid w:val="007A08C8"/>
    <w:rsid w:val="007A302E"/>
    <w:rsid w:val="007A3147"/>
    <w:rsid w:val="007B0601"/>
    <w:rsid w:val="007B10C5"/>
    <w:rsid w:val="007C5DD8"/>
    <w:rsid w:val="007C61AA"/>
    <w:rsid w:val="007C6DBF"/>
    <w:rsid w:val="007D56F1"/>
    <w:rsid w:val="007E71E6"/>
    <w:rsid w:val="007E7969"/>
    <w:rsid w:val="007F07B0"/>
    <w:rsid w:val="007F4679"/>
    <w:rsid w:val="008001C9"/>
    <w:rsid w:val="00803B26"/>
    <w:rsid w:val="00845EB0"/>
    <w:rsid w:val="00854084"/>
    <w:rsid w:val="00860E84"/>
    <w:rsid w:val="008813B4"/>
    <w:rsid w:val="0088281A"/>
    <w:rsid w:val="008913B7"/>
    <w:rsid w:val="00893768"/>
    <w:rsid w:val="008944BF"/>
    <w:rsid w:val="008A5ABF"/>
    <w:rsid w:val="008B27EA"/>
    <w:rsid w:val="008B445E"/>
    <w:rsid w:val="008B520D"/>
    <w:rsid w:val="008C732B"/>
    <w:rsid w:val="008D7024"/>
    <w:rsid w:val="008E160E"/>
    <w:rsid w:val="008E70CD"/>
    <w:rsid w:val="00900577"/>
    <w:rsid w:val="009030FC"/>
    <w:rsid w:val="00911DA6"/>
    <w:rsid w:val="00917563"/>
    <w:rsid w:val="00927023"/>
    <w:rsid w:val="009277D1"/>
    <w:rsid w:val="00934175"/>
    <w:rsid w:val="0093465F"/>
    <w:rsid w:val="00942448"/>
    <w:rsid w:val="0095096E"/>
    <w:rsid w:val="009513F4"/>
    <w:rsid w:val="009516F3"/>
    <w:rsid w:val="00956EC8"/>
    <w:rsid w:val="009571FD"/>
    <w:rsid w:val="00960FB2"/>
    <w:rsid w:val="009674D6"/>
    <w:rsid w:val="00967736"/>
    <w:rsid w:val="00972D9F"/>
    <w:rsid w:val="00977E6A"/>
    <w:rsid w:val="0099234D"/>
    <w:rsid w:val="009A1C50"/>
    <w:rsid w:val="009A2823"/>
    <w:rsid w:val="009A2B69"/>
    <w:rsid w:val="009A780A"/>
    <w:rsid w:val="009B6AE2"/>
    <w:rsid w:val="009B6D85"/>
    <w:rsid w:val="009C0E01"/>
    <w:rsid w:val="009C1C23"/>
    <w:rsid w:val="009C2114"/>
    <w:rsid w:val="009D1CDF"/>
    <w:rsid w:val="009D2479"/>
    <w:rsid w:val="009D4A42"/>
    <w:rsid w:val="009D4F11"/>
    <w:rsid w:val="009D6127"/>
    <w:rsid w:val="009E240D"/>
    <w:rsid w:val="009E3A47"/>
    <w:rsid w:val="009E5346"/>
    <w:rsid w:val="00A02402"/>
    <w:rsid w:val="00A158D5"/>
    <w:rsid w:val="00A16932"/>
    <w:rsid w:val="00A21375"/>
    <w:rsid w:val="00A33DC7"/>
    <w:rsid w:val="00A34C94"/>
    <w:rsid w:val="00A35545"/>
    <w:rsid w:val="00A40E29"/>
    <w:rsid w:val="00A41E5E"/>
    <w:rsid w:val="00A50A01"/>
    <w:rsid w:val="00A51407"/>
    <w:rsid w:val="00A52F20"/>
    <w:rsid w:val="00A54EE9"/>
    <w:rsid w:val="00A5714A"/>
    <w:rsid w:val="00A653F2"/>
    <w:rsid w:val="00A7446F"/>
    <w:rsid w:val="00A82100"/>
    <w:rsid w:val="00A85839"/>
    <w:rsid w:val="00A91E10"/>
    <w:rsid w:val="00A943DF"/>
    <w:rsid w:val="00AD0475"/>
    <w:rsid w:val="00AD3542"/>
    <w:rsid w:val="00AE320F"/>
    <w:rsid w:val="00AE4567"/>
    <w:rsid w:val="00AF42B4"/>
    <w:rsid w:val="00AF464F"/>
    <w:rsid w:val="00B035F6"/>
    <w:rsid w:val="00B0646A"/>
    <w:rsid w:val="00B11FFD"/>
    <w:rsid w:val="00B14D08"/>
    <w:rsid w:val="00B151B2"/>
    <w:rsid w:val="00B166BC"/>
    <w:rsid w:val="00B16CC8"/>
    <w:rsid w:val="00B21419"/>
    <w:rsid w:val="00B21C64"/>
    <w:rsid w:val="00B2357E"/>
    <w:rsid w:val="00B333A4"/>
    <w:rsid w:val="00B37DD3"/>
    <w:rsid w:val="00B4272E"/>
    <w:rsid w:val="00B46B75"/>
    <w:rsid w:val="00B47756"/>
    <w:rsid w:val="00B47917"/>
    <w:rsid w:val="00B51A42"/>
    <w:rsid w:val="00B57080"/>
    <w:rsid w:val="00B60869"/>
    <w:rsid w:val="00B71C83"/>
    <w:rsid w:val="00B75FB9"/>
    <w:rsid w:val="00B77DE3"/>
    <w:rsid w:val="00B86D3F"/>
    <w:rsid w:val="00B93371"/>
    <w:rsid w:val="00B9401C"/>
    <w:rsid w:val="00B9471D"/>
    <w:rsid w:val="00BA2CCB"/>
    <w:rsid w:val="00BA358B"/>
    <w:rsid w:val="00BA5B4B"/>
    <w:rsid w:val="00BA7A1E"/>
    <w:rsid w:val="00BB19E6"/>
    <w:rsid w:val="00BC1425"/>
    <w:rsid w:val="00BC560B"/>
    <w:rsid w:val="00BD0BD3"/>
    <w:rsid w:val="00BD3ED5"/>
    <w:rsid w:val="00BD48EC"/>
    <w:rsid w:val="00BD5A2F"/>
    <w:rsid w:val="00BD6F41"/>
    <w:rsid w:val="00BE3762"/>
    <w:rsid w:val="00C0104A"/>
    <w:rsid w:val="00C0631F"/>
    <w:rsid w:val="00C07864"/>
    <w:rsid w:val="00C07A1A"/>
    <w:rsid w:val="00C100C1"/>
    <w:rsid w:val="00C1461E"/>
    <w:rsid w:val="00C16E5E"/>
    <w:rsid w:val="00C17F90"/>
    <w:rsid w:val="00C23200"/>
    <w:rsid w:val="00C240C4"/>
    <w:rsid w:val="00C31D24"/>
    <w:rsid w:val="00C325DB"/>
    <w:rsid w:val="00C4685D"/>
    <w:rsid w:val="00C506F3"/>
    <w:rsid w:val="00C54E16"/>
    <w:rsid w:val="00C5526F"/>
    <w:rsid w:val="00C56B18"/>
    <w:rsid w:val="00C57C63"/>
    <w:rsid w:val="00C60588"/>
    <w:rsid w:val="00C613E8"/>
    <w:rsid w:val="00C73F29"/>
    <w:rsid w:val="00C77DAB"/>
    <w:rsid w:val="00C81026"/>
    <w:rsid w:val="00C8395E"/>
    <w:rsid w:val="00C83A74"/>
    <w:rsid w:val="00CA46DF"/>
    <w:rsid w:val="00CB0AC4"/>
    <w:rsid w:val="00CB60CF"/>
    <w:rsid w:val="00CC3647"/>
    <w:rsid w:val="00CC6142"/>
    <w:rsid w:val="00CD371E"/>
    <w:rsid w:val="00CE1C02"/>
    <w:rsid w:val="00CE22C8"/>
    <w:rsid w:val="00CE426D"/>
    <w:rsid w:val="00CE69E6"/>
    <w:rsid w:val="00CE796E"/>
    <w:rsid w:val="00CF3006"/>
    <w:rsid w:val="00D0170A"/>
    <w:rsid w:val="00D06ECA"/>
    <w:rsid w:val="00D07D38"/>
    <w:rsid w:val="00D104CE"/>
    <w:rsid w:val="00D11D35"/>
    <w:rsid w:val="00D11FE5"/>
    <w:rsid w:val="00D1491A"/>
    <w:rsid w:val="00D15165"/>
    <w:rsid w:val="00D30297"/>
    <w:rsid w:val="00D32B85"/>
    <w:rsid w:val="00D41201"/>
    <w:rsid w:val="00D42E8D"/>
    <w:rsid w:val="00D43D46"/>
    <w:rsid w:val="00D46FAC"/>
    <w:rsid w:val="00D5048D"/>
    <w:rsid w:val="00D50799"/>
    <w:rsid w:val="00D537E4"/>
    <w:rsid w:val="00D54533"/>
    <w:rsid w:val="00D5474E"/>
    <w:rsid w:val="00D65BBE"/>
    <w:rsid w:val="00D662B8"/>
    <w:rsid w:val="00D768CB"/>
    <w:rsid w:val="00D76E55"/>
    <w:rsid w:val="00D80C41"/>
    <w:rsid w:val="00D878FD"/>
    <w:rsid w:val="00DA0C0E"/>
    <w:rsid w:val="00DA49F8"/>
    <w:rsid w:val="00DA5D00"/>
    <w:rsid w:val="00DA5FB8"/>
    <w:rsid w:val="00DB1666"/>
    <w:rsid w:val="00DB3370"/>
    <w:rsid w:val="00DB42C5"/>
    <w:rsid w:val="00DC1ADC"/>
    <w:rsid w:val="00DD10B8"/>
    <w:rsid w:val="00DD481F"/>
    <w:rsid w:val="00DD63AF"/>
    <w:rsid w:val="00DD7739"/>
    <w:rsid w:val="00DE0101"/>
    <w:rsid w:val="00DE126C"/>
    <w:rsid w:val="00DE4440"/>
    <w:rsid w:val="00DE5310"/>
    <w:rsid w:val="00DF21DC"/>
    <w:rsid w:val="00DF4696"/>
    <w:rsid w:val="00DF7AA4"/>
    <w:rsid w:val="00E0312B"/>
    <w:rsid w:val="00E03CCC"/>
    <w:rsid w:val="00E07B1C"/>
    <w:rsid w:val="00E107ED"/>
    <w:rsid w:val="00E11229"/>
    <w:rsid w:val="00E11800"/>
    <w:rsid w:val="00E13263"/>
    <w:rsid w:val="00E200A4"/>
    <w:rsid w:val="00E20101"/>
    <w:rsid w:val="00E248F7"/>
    <w:rsid w:val="00E2775F"/>
    <w:rsid w:val="00E30972"/>
    <w:rsid w:val="00E4641A"/>
    <w:rsid w:val="00E50027"/>
    <w:rsid w:val="00E51284"/>
    <w:rsid w:val="00E53798"/>
    <w:rsid w:val="00E57805"/>
    <w:rsid w:val="00E61123"/>
    <w:rsid w:val="00E61C78"/>
    <w:rsid w:val="00E62C40"/>
    <w:rsid w:val="00E66AE9"/>
    <w:rsid w:val="00E70DD6"/>
    <w:rsid w:val="00E77F19"/>
    <w:rsid w:val="00E80E61"/>
    <w:rsid w:val="00E86251"/>
    <w:rsid w:val="00E91E17"/>
    <w:rsid w:val="00E97E8E"/>
    <w:rsid w:val="00EB075A"/>
    <w:rsid w:val="00EC3EFD"/>
    <w:rsid w:val="00ED55F7"/>
    <w:rsid w:val="00ED6EAE"/>
    <w:rsid w:val="00EE272A"/>
    <w:rsid w:val="00EE45B5"/>
    <w:rsid w:val="00EF1CBA"/>
    <w:rsid w:val="00EF37AA"/>
    <w:rsid w:val="00F007C1"/>
    <w:rsid w:val="00F01A96"/>
    <w:rsid w:val="00F03AA5"/>
    <w:rsid w:val="00F069CC"/>
    <w:rsid w:val="00F076D2"/>
    <w:rsid w:val="00F10BAD"/>
    <w:rsid w:val="00F13938"/>
    <w:rsid w:val="00F17643"/>
    <w:rsid w:val="00F17682"/>
    <w:rsid w:val="00F2531D"/>
    <w:rsid w:val="00F27B1A"/>
    <w:rsid w:val="00F27E7E"/>
    <w:rsid w:val="00F326E5"/>
    <w:rsid w:val="00F50499"/>
    <w:rsid w:val="00F51E73"/>
    <w:rsid w:val="00F55B37"/>
    <w:rsid w:val="00F56B9B"/>
    <w:rsid w:val="00F65309"/>
    <w:rsid w:val="00F65AE9"/>
    <w:rsid w:val="00F6704C"/>
    <w:rsid w:val="00F7308C"/>
    <w:rsid w:val="00F82078"/>
    <w:rsid w:val="00F93ADE"/>
    <w:rsid w:val="00F953CC"/>
    <w:rsid w:val="00F9737A"/>
    <w:rsid w:val="00FA3F12"/>
    <w:rsid w:val="00FB24D9"/>
    <w:rsid w:val="00FB46A4"/>
    <w:rsid w:val="00FB56EE"/>
    <w:rsid w:val="00FC06D7"/>
    <w:rsid w:val="00FC4E47"/>
    <w:rsid w:val="00FC64A9"/>
    <w:rsid w:val="00FE0F5D"/>
    <w:rsid w:val="013AE908"/>
    <w:rsid w:val="0448ED80"/>
    <w:rsid w:val="0475FA57"/>
    <w:rsid w:val="04D9409B"/>
    <w:rsid w:val="07068BF3"/>
    <w:rsid w:val="071959CD"/>
    <w:rsid w:val="07816290"/>
    <w:rsid w:val="078C2B63"/>
    <w:rsid w:val="0BAF9E4B"/>
    <w:rsid w:val="0C3F6932"/>
    <w:rsid w:val="0C66D2A7"/>
    <w:rsid w:val="0CC6D971"/>
    <w:rsid w:val="10287E74"/>
    <w:rsid w:val="157CECF1"/>
    <w:rsid w:val="17FBBDE5"/>
    <w:rsid w:val="18BED085"/>
    <w:rsid w:val="1F7CF589"/>
    <w:rsid w:val="1F86186B"/>
    <w:rsid w:val="1FC39D57"/>
    <w:rsid w:val="2024C549"/>
    <w:rsid w:val="2048FE67"/>
    <w:rsid w:val="21AACE32"/>
    <w:rsid w:val="240B3F5B"/>
    <w:rsid w:val="27C01C4D"/>
    <w:rsid w:val="2BDAA45D"/>
    <w:rsid w:val="2F439E82"/>
    <w:rsid w:val="306A5A19"/>
    <w:rsid w:val="317EE9C8"/>
    <w:rsid w:val="36D0C2E0"/>
    <w:rsid w:val="37E17A31"/>
    <w:rsid w:val="39D84BFC"/>
    <w:rsid w:val="3A21F016"/>
    <w:rsid w:val="3A72BCC0"/>
    <w:rsid w:val="410C0F61"/>
    <w:rsid w:val="41FE3CD3"/>
    <w:rsid w:val="42254CE7"/>
    <w:rsid w:val="437250D4"/>
    <w:rsid w:val="44C173C9"/>
    <w:rsid w:val="455F535B"/>
    <w:rsid w:val="494AF62B"/>
    <w:rsid w:val="4EF4E01B"/>
    <w:rsid w:val="527289DD"/>
    <w:rsid w:val="5314FEB0"/>
    <w:rsid w:val="53AFB6E7"/>
    <w:rsid w:val="53F61B2D"/>
    <w:rsid w:val="543C6C36"/>
    <w:rsid w:val="543C6D08"/>
    <w:rsid w:val="548ED733"/>
    <w:rsid w:val="5547B087"/>
    <w:rsid w:val="558F09C8"/>
    <w:rsid w:val="56C4EEA0"/>
    <w:rsid w:val="5735B011"/>
    <w:rsid w:val="5908D46A"/>
    <w:rsid w:val="5A0DDDC0"/>
    <w:rsid w:val="5A8A8CF6"/>
    <w:rsid w:val="5B888CA5"/>
    <w:rsid w:val="5D519A80"/>
    <w:rsid w:val="5DBDCB4E"/>
    <w:rsid w:val="5E0A7DD7"/>
    <w:rsid w:val="5EECD7EA"/>
    <w:rsid w:val="5EF0E7AB"/>
    <w:rsid w:val="61866CF5"/>
    <w:rsid w:val="62D8406E"/>
    <w:rsid w:val="65999892"/>
    <w:rsid w:val="6902D6C3"/>
    <w:rsid w:val="6B0E3F66"/>
    <w:rsid w:val="6BE6BA72"/>
    <w:rsid w:val="6CFCCB6C"/>
    <w:rsid w:val="734584C3"/>
    <w:rsid w:val="76098C0A"/>
    <w:rsid w:val="7610715E"/>
    <w:rsid w:val="779BBAB7"/>
    <w:rsid w:val="7AE595BD"/>
    <w:rsid w:val="7B1C73DF"/>
    <w:rsid w:val="7CEDEA0A"/>
    <w:rsid w:val="7D5D1214"/>
    <w:rsid w:val="7F40139D"/>
    <w:rsid w:val="7FB6C89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507B4FDD-EDA5-4577-B81E-BCFD59052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10"/>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table" w:styleId="Tablaconcuadrcula">
    <w:name w:val="Table Grid"/>
    <w:basedOn w:val="Tablanormal"/>
    <w:uiPriority w:val="39"/>
    <w:rsid w:val="009D1C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3C1B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475A31-8488-477B-8099-15897B3B6AA6}">
  <ds:schemaRefs>
    <ds:schemaRef ds:uri="http://schemas.openxmlformats.org/officeDocument/2006/bibliography"/>
  </ds:schemaRefs>
</ds:datastoreItem>
</file>

<file path=customXml/itemProps2.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3.xml><?xml version="1.0" encoding="utf-8"?>
<ds:datastoreItem xmlns:ds="http://schemas.openxmlformats.org/officeDocument/2006/customXml" ds:itemID="{CA03CD1C-691E-40FB-B7B2-D8168A05F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750604-A560-4362-A360-44DFA1611FB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21</Pages>
  <Words>10402</Words>
  <Characters>55340</Characters>
  <Application>Microsoft Office Word</Application>
  <DocSecurity>0</DocSecurity>
  <Lines>1537</Lines>
  <Paragraphs>571</Paragraphs>
  <ScaleCrop>false</ScaleCrop>
  <Company/>
  <LinksUpToDate>false</LinksUpToDate>
  <CharactersWithSpaces>65171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Maya Alejandra Bhatia Ramos</cp:lastModifiedBy>
  <cp:revision>218</cp:revision>
  <dcterms:created xsi:type="dcterms:W3CDTF">2025-03-20T19:02:00Z</dcterms:created>
  <dcterms:modified xsi:type="dcterms:W3CDTF">2026-04-13T14:54:00Z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96700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docLang">
    <vt:lpwstr>es</vt:lpwstr>
  </property>
</Properties>
</file>